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E488" w14:textId="77777777" w:rsidR="00F43B96" w:rsidRDefault="00F43B96"/>
    <w:p w14:paraId="053A201C" w14:textId="77777777" w:rsidR="006A654D" w:rsidRPr="00730E67" w:rsidRDefault="006A654D" w:rsidP="007318F4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 w:rsidRPr="00730E67">
        <w:rPr>
          <w:rFonts w:cs="Arial"/>
          <w:b/>
          <w:sz w:val="32"/>
          <w:szCs w:val="32"/>
        </w:rPr>
        <w:t>AUSSCHREIBUNGSTEXT</w:t>
      </w:r>
    </w:p>
    <w:p w14:paraId="21EE7876" w14:textId="4F789897" w:rsidR="006A654D" w:rsidRPr="00730E67" w:rsidRDefault="006A654D" w:rsidP="007318F4">
      <w:pPr>
        <w:rPr>
          <w:rFonts w:cs="Arial"/>
          <w:sz w:val="28"/>
          <w:szCs w:val="28"/>
        </w:rPr>
      </w:pPr>
      <w:r w:rsidRPr="00730E67">
        <w:rPr>
          <w:rFonts w:cs="Arial"/>
          <w:sz w:val="28"/>
          <w:szCs w:val="28"/>
        </w:rPr>
        <w:t xml:space="preserve">Amiblu </w:t>
      </w:r>
      <w:r w:rsidR="008A048B" w:rsidRPr="00730E67">
        <w:rPr>
          <w:rFonts w:cs="Arial"/>
          <w:sz w:val="28"/>
          <w:szCs w:val="28"/>
        </w:rPr>
        <w:t>GFK</w:t>
      </w:r>
      <w:r w:rsidRPr="00730E67">
        <w:rPr>
          <w:rFonts w:cs="Arial"/>
          <w:sz w:val="28"/>
          <w:szCs w:val="28"/>
        </w:rPr>
        <w:t>-</w:t>
      </w:r>
      <w:r w:rsidR="00D473A1" w:rsidRPr="00730E67">
        <w:rPr>
          <w:rFonts w:cs="Arial"/>
          <w:sz w:val="28"/>
          <w:szCs w:val="28"/>
        </w:rPr>
        <w:t>Vo</w:t>
      </w:r>
      <w:r w:rsidR="0082046D" w:rsidRPr="00730E67">
        <w:rPr>
          <w:rFonts w:cs="Arial"/>
          <w:sz w:val="28"/>
          <w:szCs w:val="28"/>
        </w:rPr>
        <w:t>r</w:t>
      </w:r>
      <w:r w:rsidR="00D473A1" w:rsidRPr="00730E67">
        <w:rPr>
          <w:rFonts w:cs="Arial"/>
          <w:sz w:val="28"/>
          <w:szCs w:val="28"/>
        </w:rPr>
        <w:t>triebsrohr</w:t>
      </w:r>
      <w:r w:rsidR="00FE581B" w:rsidRPr="00730E67">
        <w:rPr>
          <w:rFonts w:cs="Arial"/>
          <w:sz w:val="28"/>
          <w:szCs w:val="28"/>
        </w:rPr>
        <w:t>e</w:t>
      </w:r>
      <w:r w:rsidR="002A70F8" w:rsidRPr="00730E67">
        <w:rPr>
          <w:rFonts w:cs="Arial"/>
          <w:sz w:val="28"/>
          <w:szCs w:val="28"/>
        </w:rPr>
        <w:t>;</w:t>
      </w:r>
      <w:r w:rsidRPr="00730E67">
        <w:rPr>
          <w:rFonts w:cs="Arial"/>
          <w:sz w:val="28"/>
          <w:szCs w:val="28"/>
        </w:rPr>
        <w:t xml:space="preserve"> nach DIN EN 14364 / DIN16868 / DIN16869</w:t>
      </w:r>
    </w:p>
    <w:p w14:paraId="549019BD" w14:textId="77777777" w:rsidR="006A654D" w:rsidRPr="00730E67" w:rsidRDefault="006A654D" w:rsidP="007318F4">
      <w:pPr>
        <w:rPr>
          <w:rFonts w:cs="Arial"/>
        </w:rPr>
      </w:pPr>
    </w:p>
    <w:p w14:paraId="7384AB24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66390F62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2295BBB6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20D32EA8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1CBEB329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29DBC389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7ED26807" w14:textId="77777777" w:rsidR="004E3FFC" w:rsidRPr="00730E67" w:rsidRDefault="004E3FFC" w:rsidP="007318F4">
      <w:pPr>
        <w:rPr>
          <w:rFonts w:cs="Arial"/>
          <w:b/>
          <w:sz w:val="24"/>
        </w:rPr>
      </w:pPr>
    </w:p>
    <w:p w14:paraId="37383D74" w14:textId="6EE914DD" w:rsidR="006A654D" w:rsidRPr="00730E67" w:rsidRDefault="006A654D" w:rsidP="007318F4">
      <w:pPr>
        <w:rPr>
          <w:rFonts w:cs="Arial"/>
          <w:b/>
          <w:sz w:val="24"/>
        </w:rPr>
      </w:pPr>
      <w:r w:rsidRPr="00730E67">
        <w:rPr>
          <w:rFonts w:cs="Arial"/>
          <w:b/>
          <w:sz w:val="24"/>
        </w:rPr>
        <w:t>Inhaltsverzeichnis</w:t>
      </w:r>
    </w:p>
    <w:p w14:paraId="5657301E" w14:textId="77777777" w:rsidR="00194C2C" w:rsidRPr="00730E67" w:rsidRDefault="00194C2C" w:rsidP="007318F4">
      <w:pPr>
        <w:rPr>
          <w:rFonts w:cs="Arial"/>
          <w:b/>
          <w:sz w:val="24"/>
        </w:rPr>
      </w:pPr>
    </w:p>
    <w:p w14:paraId="2FB42427" w14:textId="1500DB82" w:rsidR="006B271C" w:rsidRPr="006B271C" w:rsidRDefault="006A654D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B271C">
        <w:rPr>
          <w:rFonts w:cs="Arial"/>
          <w:b w:val="0"/>
        </w:rPr>
        <w:fldChar w:fldCharType="begin"/>
      </w:r>
      <w:r w:rsidRPr="006B271C">
        <w:rPr>
          <w:rFonts w:cs="Arial"/>
          <w:b w:val="0"/>
        </w:rPr>
        <w:instrText xml:space="preserve"> TOC \o "1-3" \h \z \u </w:instrText>
      </w:r>
      <w:r w:rsidRPr="006B271C">
        <w:rPr>
          <w:rFonts w:cs="Arial"/>
          <w:b w:val="0"/>
        </w:rPr>
        <w:fldChar w:fldCharType="separate"/>
      </w:r>
      <w:hyperlink w:anchor="_Toc1486911" w:history="1">
        <w:r w:rsidR="006B271C" w:rsidRPr="006B271C">
          <w:rPr>
            <w:rStyle w:val="Hyperlink"/>
            <w:rFonts w:cs="Arial"/>
            <w:b w:val="0"/>
            <w:noProof/>
          </w:rPr>
          <w:t>1.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Vorbemerkungen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_Toc1486911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2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2CDBCACE" w14:textId="0A0F51DD" w:rsidR="006B271C" w:rsidRPr="006B271C" w:rsidRDefault="00476300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2" w:history="1">
        <w:r w:rsidR="006B271C" w:rsidRPr="006B271C">
          <w:rPr>
            <w:rStyle w:val="Hyperlink"/>
            <w:rFonts w:cs="Arial"/>
            <w:b w:val="0"/>
            <w:noProof/>
          </w:rPr>
          <w:t>2.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GFK - Vortriebsrohr bis PN1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_Toc1486912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4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07000420" w14:textId="3C706F98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3" w:history="1">
        <w:r w:rsidR="006B271C" w:rsidRPr="006B271C">
          <w:rPr>
            <w:rStyle w:val="Hyperlink"/>
            <w:rFonts w:cs="Arial"/>
            <w:b w:val="0"/>
            <w:noProof/>
          </w:rPr>
          <w:t>2.1.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GFK-Vortriebsrohr mit Edelstahlkupplung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_Toc1486913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4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26AAF773" w14:textId="38238369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4" w:history="1">
        <w:r w:rsidR="006B271C" w:rsidRPr="006B271C">
          <w:rPr>
            <w:rStyle w:val="Hyperlink"/>
            <w:rFonts w:cs="Arial"/>
            <w:b w:val="0"/>
            <w:noProof/>
          </w:rPr>
          <w:t>2.2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GFK-Vortriebsrohr mit GfK-Manschette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_Toc1486914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4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07E3B69F" w14:textId="759BD932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5" w:history="1">
        <w:r w:rsidR="006B271C" w:rsidRPr="006B271C">
          <w:rPr>
            <w:rStyle w:val="Hyperlink"/>
            <w:rFonts w:cs="Arial"/>
            <w:b w:val="0"/>
            <w:noProof/>
          </w:rPr>
          <w:t>2.3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GFK-Vortriebsrohre als Anfangsrohr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_Toc1486915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5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45E19BF2" w14:textId="210CC0D8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6" w:history="1">
        <w:r w:rsidR="006B271C" w:rsidRPr="006B271C">
          <w:rPr>
            <w:rStyle w:val="Hyperlink"/>
            <w:rFonts w:cs="Arial"/>
            <w:b w:val="0"/>
            <w:noProof/>
          </w:rPr>
          <w:t>2.4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Zwischenpreßstationsvorlaufrohr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_Toc1486916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5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7B2876DD" w14:textId="21AD83BC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7" w:history="1">
        <w:r w:rsidR="006B271C" w:rsidRPr="006B271C">
          <w:rPr>
            <w:rStyle w:val="Hyperlink"/>
            <w:rFonts w:cs="Arial"/>
            <w:b w:val="0"/>
            <w:noProof/>
          </w:rPr>
          <w:t>2.5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Zwischenpreßstationsnachlaufrohr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_Toc1486917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5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5A650853" w14:textId="47644298" w:rsidR="006B271C" w:rsidRPr="006B271C" w:rsidRDefault="00476300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8" w:history="1">
        <w:r w:rsidR="006B271C" w:rsidRPr="006B271C">
          <w:rPr>
            <w:rStyle w:val="Hyperlink"/>
            <w:rFonts w:cs="Arial"/>
            <w:b w:val="0"/>
            <w:noProof/>
          </w:rPr>
          <w:t>3.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Zubehör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_Toc1486918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5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70FD44B9" w14:textId="14BD6995" w:rsidR="006B271C" w:rsidRPr="006B271C" w:rsidRDefault="00476300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919" w:history="1">
        <w:r w:rsidR="006B271C" w:rsidRPr="006B271C">
          <w:rPr>
            <w:rStyle w:val="Hyperlink"/>
            <w:rFonts w:cs="Arial"/>
            <w:b w:val="0"/>
            <w:noProof/>
          </w:rPr>
          <w:t>3.1.</w:t>
        </w:r>
        <w:r w:rsidR="006B271C" w:rsidRPr="006B271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B271C" w:rsidRPr="006B271C">
          <w:rPr>
            <w:rStyle w:val="Hyperlink"/>
            <w:rFonts w:cs="Arial"/>
            <w:b w:val="0"/>
            <w:noProof/>
          </w:rPr>
          <w:t>Verpreßstutzen 1“ Edelstahl</w:t>
        </w:r>
        <w:r w:rsidR="006B271C" w:rsidRPr="006B271C">
          <w:rPr>
            <w:b w:val="0"/>
            <w:noProof/>
            <w:webHidden/>
          </w:rPr>
          <w:tab/>
        </w:r>
        <w:r w:rsidR="006B271C" w:rsidRPr="006B271C">
          <w:rPr>
            <w:b w:val="0"/>
            <w:noProof/>
            <w:webHidden/>
          </w:rPr>
          <w:fldChar w:fldCharType="begin"/>
        </w:r>
        <w:r w:rsidR="006B271C" w:rsidRPr="006B271C">
          <w:rPr>
            <w:b w:val="0"/>
            <w:noProof/>
            <w:webHidden/>
          </w:rPr>
          <w:instrText xml:space="preserve"> PAGEREF _Toc1486919 \h </w:instrText>
        </w:r>
        <w:r w:rsidR="006B271C" w:rsidRPr="006B271C">
          <w:rPr>
            <w:b w:val="0"/>
            <w:noProof/>
            <w:webHidden/>
          </w:rPr>
        </w:r>
        <w:r w:rsidR="006B271C" w:rsidRPr="006B271C">
          <w:rPr>
            <w:b w:val="0"/>
            <w:noProof/>
            <w:webHidden/>
          </w:rPr>
          <w:fldChar w:fldCharType="separate"/>
        </w:r>
        <w:r w:rsidR="006B271C" w:rsidRPr="006B271C">
          <w:rPr>
            <w:b w:val="0"/>
            <w:noProof/>
            <w:webHidden/>
          </w:rPr>
          <w:t>5</w:t>
        </w:r>
        <w:r w:rsidR="006B271C" w:rsidRPr="006B271C">
          <w:rPr>
            <w:b w:val="0"/>
            <w:noProof/>
            <w:webHidden/>
          </w:rPr>
          <w:fldChar w:fldCharType="end"/>
        </w:r>
      </w:hyperlink>
    </w:p>
    <w:p w14:paraId="33D701D3" w14:textId="6C951E31" w:rsidR="006A654D" w:rsidRPr="00730E67" w:rsidRDefault="006A654D" w:rsidP="00194C2C">
      <w:pPr>
        <w:spacing w:line="360" w:lineRule="auto"/>
        <w:rPr>
          <w:rFonts w:cs="Arial"/>
        </w:rPr>
      </w:pPr>
      <w:r w:rsidRPr="006B271C">
        <w:rPr>
          <w:rFonts w:cs="Arial"/>
        </w:rPr>
        <w:fldChar w:fldCharType="end"/>
      </w:r>
    </w:p>
    <w:p w14:paraId="085AA5E0" w14:textId="77777777" w:rsidR="004E3FFC" w:rsidRPr="00730E67" w:rsidRDefault="004E3FFC" w:rsidP="007318F4">
      <w:pPr>
        <w:rPr>
          <w:rFonts w:cs="Arial"/>
        </w:rPr>
      </w:pPr>
    </w:p>
    <w:p w14:paraId="71E7FD25" w14:textId="77777777" w:rsidR="004E3FFC" w:rsidRPr="00730E67" w:rsidRDefault="004E3FFC" w:rsidP="007318F4">
      <w:pPr>
        <w:rPr>
          <w:rFonts w:cs="Arial"/>
        </w:rPr>
      </w:pPr>
    </w:p>
    <w:p w14:paraId="285BDC4F" w14:textId="77777777" w:rsidR="004E3FFC" w:rsidRPr="00730E67" w:rsidRDefault="004E3FFC" w:rsidP="007318F4">
      <w:pPr>
        <w:rPr>
          <w:rFonts w:cs="Arial"/>
        </w:rPr>
      </w:pPr>
    </w:p>
    <w:p w14:paraId="4177BACF" w14:textId="77777777" w:rsidR="004E3FFC" w:rsidRPr="00730E67" w:rsidRDefault="004E3FFC" w:rsidP="007318F4">
      <w:pPr>
        <w:rPr>
          <w:rFonts w:cs="Arial"/>
        </w:rPr>
      </w:pPr>
    </w:p>
    <w:p w14:paraId="0B40C2C7" w14:textId="77777777" w:rsidR="004E3FFC" w:rsidRPr="00730E67" w:rsidRDefault="004E3FFC" w:rsidP="007318F4">
      <w:pPr>
        <w:rPr>
          <w:rFonts w:cs="Arial"/>
        </w:rPr>
      </w:pPr>
    </w:p>
    <w:p w14:paraId="2E0AE79E" w14:textId="77777777" w:rsidR="004E3FFC" w:rsidRPr="00730E67" w:rsidRDefault="004E3FFC" w:rsidP="007318F4">
      <w:pPr>
        <w:rPr>
          <w:rFonts w:cs="Arial"/>
        </w:rPr>
      </w:pPr>
    </w:p>
    <w:p w14:paraId="6CBC3FA5" w14:textId="77777777" w:rsidR="004E3FFC" w:rsidRPr="00730E67" w:rsidRDefault="004E3FFC" w:rsidP="007318F4">
      <w:pPr>
        <w:rPr>
          <w:rFonts w:cs="Arial"/>
        </w:rPr>
      </w:pPr>
    </w:p>
    <w:p w14:paraId="69550CFC" w14:textId="77777777" w:rsidR="004E3FFC" w:rsidRPr="00730E67" w:rsidRDefault="004E3FFC" w:rsidP="007318F4">
      <w:pPr>
        <w:rPr>
          <w:rFonts w:cs="Arial"/>
        </w:rPr>
      </w:pPr>
    </w:p>
    <w:p w14:paraId="73B6A261" w14:textId="77777777" w:rsidR="004E3FFC" w:rsidRPr="00730E67" w:rsidRDefault="004E3FFC" w:rsidP="007318F4">
      <w:pPr>
        <w:rPr>
          <w:rFonts w:cs="Arial"/>
        </w:rPr>
      </w:pPr>
    </w:p>
    <w:p w14:paraId="1981EBA5" w14:textId="77777777" w:rsidR="004E3FFC" w:rsidRPr="00730E67" w:rsidRDefault="004E3FFC" w:rsidP="007318F4">
      <w:pPr>
        <w:rPr>
          <w:rFonts w:cs="Arial"/>
        </w:rPr>
      </w:pPr>
    </w:p>
    <w:p w14:paraId="4CCE51C2" w14:textId="77777777" w:rsidR="004E3FFC" w:rsidRPr="00730E67" w:rsidRDefault="004E3FFC" w:rsidP="007318F4">
      <w:pPr>
        <w:rPr>
          <w:rFonts w:cs="Arial"/>
        </w:rPr>
      </w:pPr>
    </w:p>
    <w:p w14:paraId="413A6931" w14:textId="77777777" w:rsidR="004E3FFC" w:rsidRPr="00730E67" w:rsidRDefault="004E3FFC" w:rsidP="007318F4">
      <w:pPr>
        <w:rPr>
          <w:rFonts w:cs="Arial"/>
        </w:rPr>
      </w:pPr>
    </w:p>
    <w:p w14:paraId="1F7E739B" w14:textId="77777777" w:rsidR="004E3FFC" w:rsidRPr="00730E67" w:rsidRDefault="004E3FFC" w:rsidP="007318F4">
      <w:pPr>
        <w:rPr>
          <w:rFonts w:cs="Arial"/>
        </w:rPr>
      </w:pPr>
    </w:p>
    <w:p w14:paraId="2E89D536" w14:textId="77777777" w:rsidR="004E3FFC" w:rsidRPr="00730E67" w:rsidRDefault="004E3FFC" w:rsidP="007318F4">
      <w:pPr>
        <w:rPr>
          <w:rFonts w:cs="Arial"/>
        </w:rPr>
      </w:pPr>
    </w:p>
    <w:p w14:paraId="41A08AB7" w14:textId="77777777" w:rsidR="004E3FFC" w:rsidRPr="00730E67" w:rsidRDefault="004E3FFC" w:rsidP="007318F4">
      <w:pPr>
        <w:rPr>
          <w:rFonts w:cs="Arial"/>
        </w:rPr>
      </w:pPr>
    </w:p>
    <w:p w14:paraId="5A6DBFC3" w14:textId="78C53C20" w:rsidR="006A654D" w:rsidRPr="00730E67" w:rsidRDefault="006A654D" w:rsidP="007318F4">
      <w:pPr>
        <w:rPr>
          <w:rFonts w:cs="Arial"/>
        </w:rPr>
      </w:pPr>
      <w:r w:rsidRPr="00730E67">
        <w:rPr>
          <w:rFonts w:cs="Arial"/>
        </w:rPr>
        <w:t>Eine Haftung der Amiblu Gruppe ist ausgeschlossen. Dies betrifft auch Druck- und Schreibfehler sowie nachträgliche Änderungen technischer Daten.</w:t>
      </w:r>
    </w:p>
    <w:p w14:paraId="3FED3E83" w14:textId="1765FD15" w:rsidR="00EC6EDD" w:rsidRPr="00730E67" w:rsidRDefault="00EC6EDD">
      <w:pPr>
        <w:spacing w:after="160" w:line="259" w:lineRule="auto"/>
        <w:rPr>
          <w:rFonts w:cs="Arial"/>
        </w:rPr>
      </w:pPr>
      <w:r w:rsidRPr="00730E67">
        <w:rPr>
          <w:rFonts w:cs="Arial"/>
        </w:rPr>
        <w:br w:type="page"/>
      </w:r>
    </w:p>
    <w:p w14:paraId="3EAABE5C" w14:textId="77777777" w:rsidR="009E1502" w:rsidRPr="00730E67" w:rsidRDefault="009E1502" w:rsidP="007318F4">
      <w:pPr>
        <w:rPr>
          <w:rFonts w:cs="Arial"/>
        </w:rPr>
      </w:pPr>
    </w:p>
    <w:p w14:paraId="0B83FC43" w14:textId="77777777" w:rsidR="009E1502" w:rsidRPr="00730E67" w:rsidRDefault="009E1502" w:rsidP="00795C5F">
      <w:pPr>
        <w:pStyle w:val="berschrift1"/>
        <w:numPr>
          <w:ilvl w:val="0"/>
          <w:numId w:val="21"/>
        </w:numPr>
        <w:rPr>
          <w:rFonts w:ascii="Arial" w:hAnsi="Arial" w:cs="Arial"/>
          <w:szCs w:val="24"/>
        </w:rPr>
      </w:pPr>
      <w:bookmarkStart w:id="0" w:name="_Toc399835310"/>
      <w:bookmarkStart w:id="1" w:name="_Toc399836975"/>
      <w:bookmarkStart w:id="2" w:name="_Toc403293803"/>
      <w:bookmarkStart w:id="3" w:name="_Toc403296860"/>
      <w:bookmarkStart w:id="4" w:name="_Toc474496638"/>
      <w:bookmarkStart w:id="5" w:name="_Toc1486911"/>
      <w:r w:rsidRPr="00730E67">
        <w:rPr>
          <w:rFonts w:ascii="Arial" w:hAnsi="Arial" w:cs="Arial"/>
          <w:szCs w:val="24"/>
        </w:rPr>
        <w:t>Vorbemerkungen</w:t>
      </w:r>
      <w:bookmarkEnd w:id="0"/>
      <w:bookmarkEnd w:id="1"/>
      <w:bookmarkEnd w:id="2"/>
      <w:bookmarkEnd w:id="3"/>
      <w:bookmarkEnd w:id="4"/>
      <w:bookmarkEnd w:id="5"/>
    </w:p>
    <w:p w14:paraId="6171538E" w14:textId="77777777" w:rsidR="009E1502" w:rsidRPr="00730E67" w:rsidRDefault="009E1502" w:rsidP="007318F4">
      <w:pPr>
        <w:rPr>
          <w:rFonts w:cs="Arial"/>
          <w:sz w:val="24"/>
        </w:rPr>
      </w:pPr>
    </w:p>
    <w:p w14:paraId="539F57C9" w14:textId="553076D9" w:rsidR="009E1502" w:rsidRPr="00730E67" w:rsidRDefault="00FE581B" w:rsidP="56FB0917">
      <w:pPr>
        <w:tabs>
          <w:tab w:val="left" w:pos="1701"/>
        </w:tabs>
        <w:jc w:val="both"/>
        <w:rPr>
          <w:rFonts w:cs="Arial"/>
          <w:szCs w:val="22"/>
        </w:rPr>
      </w:pPr>
      <w:r w:rsidRPr="00730E67">
        <w:rPr>
          <w:rFonts w:cs="Arial"/>
        </w:rPr>
        <w:t>G</w:t>
      </w:r>
      <w:r w:rsidR="004E3FFC" w:rsidRPr="00730E67">
        <w:rPr>
          <w:rFonts w:cs="Arial"/>
        </w:rPr>
        <w:t>F</w:t>
      </w:r>
      <w:r w:rsidRPr="00730E67">
        <w:rPr>
          <w:rFonts w:cs="Arial"/>
        </w:rPr>
        <w:t>K-Vortriebsrohre</w:t>
      </w:r>
      <w:r w:rsidR="00B05812" w:rsidRPr="00730E67">
        <w:rPr>
          <w:rFonts w:cs="Arial"/>
        </w:rPr>
        <w:t xml:space="preserve"> </w:t>
      </w:r>
      <w:r w:rsidR="009E1502" w:rsidRPr="00730E67">
        <w:rPr>
          <w:rFonts w:cs="Arial"/>
        </w:rPr>
        <w:t>aus glasfaserverstärktem ungesättigtem Pol</w:t>
      </w:r>
      <w:r w:rsidR="00DF6460" w:rsidRPr="00730E67">
        <w:rPr>
          <w:rFonts w:cs="Arial"/>
        </w:rPr>
        <w:t>yesterharz</w:t>
      </w:r>
      <w:r w:rsidR="00B05812" w:rsidRPr="00730E67">
        <w:rPr>
          <w:rFonts w:cs="Arial"/>
        </w:rPr>
        <w:t xml:space="preserve"> </w:t>
      </w:r>
      <w:r w:rsidR="009E1502" w:rsidRPr="00730E67">
        <w:rPr>
          <w:rFonts w:cs="Arial"/>
        </w:rPr>
        <w:t xml:space="preserve">(UP-GF), gemäß </w:t>
      </w:r>
      <w:r w:rsidR="00554D4A" w:rsidRPr="00730E67">
        <w:rPr>
          <w:rFonts w:cs="Arial"/>
        </w:rPr>
        <w:t>DIN EN</w:t>
      </w:r>
      <w:r w:rsidR="003C54F1" w:rsidRPr="00730E67">
        <w:rPr>
          <w:rFonts w:cs="Arial"/>
        </w:rPr>
        <w:t xml:space="preserve">14364 </w:t>
      </w:r>
      <w:r w:rsidRPr="00730E67">
        <w:rPr>
          <w:rFonts w:cs="Arial"/>
        </w:rPr>
        <w:t>und ISO25780 mit einem Wandaufbau gemäß/analog</w:t>
      </w:r>
      <w:r w:rsidR="003C54F1" w:rsidRPr="00730E67">
        <w:rPr>
          <w:rFonts w:cs="Arial"/>
        </w:rPr>
        <w:t xml:space="preserve"> </w:t>
      </w:r>
      <w:r w:rsidR="00554D4A" w:rsidRPr="00730E67">
        <w:rPr>
          <w:rFonts w:cs="Arial"/>
        </w:rPr>
        <w:t>DIN</w:t>
      </w:r>
      <w:r w:rsidR="00DF6460" w:rsidRPr="00730E67">
        <w:rPr>
          <w:rFonts w:cs="Arial"/>
        </w:rPr>
        <w:t>16868</w:t>
      </w:r>
      <w:r w:rsidR="56FB0917" w:rsidRPr="00730E67">
        <w:rPr>
          <w:rFonts w:cs="Arial"/>
        </w:rPr>
        <w:t xml:space="preserve"> </w:t>
      </w:r>
      <w:r w:rsidR="00DF6460" w:rsidRPr="00730E67">
        <w:rPr>
          <w:rFonts w:cs="Arial"/>
        </w:rPr>
        <w:t>/</w:t>
      </w:r>
      <w:r w:rsidR="56FB0917" w:rsidRPr="00730E67">
        <w:rPr>
          <w:rFonts w:cs="Arial"/>
        </w:rPr>
        <w:t xml:space="preserve"> </w:t>
      </w:r>
      <w:r w:rsidR="009E1502" w:rsidRPr="00730E67">
        <w:rPr>
          <w:rFonts w:cs="Arial"/>
        </w:rPr>
        <w:t>16</w:t>
      </w:r>
      <w:r w:rsidR="003C54F1" w:rsidRPr="00730E67">
        <w:rPr>
          <w:rFonts w:cs="Arial"/>
        </w:rPr>
        <w:t>869</w:t>
      </w:r>
      <w:r w:rsidR="009E1502" w:rsidRPr="00730E67">
        <w:rPr>
          <w:rFonts w:cs="Arial"/>
        </w:rPr>
        <w:t>.</w:t>
      </w:r>
    </w:p>
    <w:p w14:paraId="0262BF2C" w14:textId="77B68ABB" w:rsidR="1D5D996F" w:rsidRPr="00730E67" w:rsidRDefault="1D5D996F" w:rsidP="00795C5F">
      <w:pPr>
        <w:jc w:val="both"/>
        <w:rPr>
          <w:rFonts w:cs="Arial"/>
        </w:rPr>
      </w:pPr>
    </w:p>
    <w:p w14:paraId="35F86D20" w14:textId="12CE9B8E" w:rsidR="1D5D996F" w:rsidRPr="00730E67" w:rsidRDefault="1D5D996F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  <w:r w:rsidRPr="00730E67">
        <w:rPr>
          <w:rFonts w:eastAsia="Arial" w:cs="Arial"/>
          <w:color w:val="000000" w:themeColor="text1"/>
          <w:sz w:val="21"/>
          <w:szCs w:val="21"/>
        </w:rPr>
        <w:t xml:space="preserve">Es muss der Nachweis der Übereinstimmung </w:t>
      </w:r>
      <w:r w:rsidR="70DB8028" w:rsidRPr="00730E67">
        <w:rPr>
          <w:rFonts w:eastAsia="Arial" w:cs="Arial"/>
          <w:color w:val="000000" w:themeColor="text1"/>
          <w:sz w:val="21"/>
          <w:szCs w:val="21"/>
        </w:rPr>
        <w:t xml:space="preserve">sowie eine Eigen- und Fremdüberwachung der Produktion entsprechend den Produktnormen EN 14364 / </w:t>
      </w:r>
      <w:r w:rsidR="00FE581B" w:rsidRPr="00730E67">
        <w:rPr>
          <w:rFonts w:eastAsia="Arial" w:cs="Arial"/>
          <w:color w:val="000000" w:themeColor="text1"/>
          <w:sz w:val="21"/>
          <w:szCs w:val="21"/>
        </w:rPr>
        <w:t>ISO25780</w:t>
      </w:r>
      <w:r w:rsidR="70DB8028" w:rsidRPr="00730E67">
        <w:rPr>
          <w:rFonts w:eastAsia="Arial" w:cs="Arial"/>
          <w:color w:val="000000" w:themeColor="text1"/>
          <w:sz w:val="21"/>
          <w:szCs w:val="21"/>
        </w:rPr>
        <w:t xml:space="preserve"> in Verbindung mit der CEN / TS 14632</w:t>
      </w:r>
      <w:r w:rsidR="7BABB6F2" w:rsidRPr="00730E67">
        <w:rPr>
          <w:rFonts w:eastAsia="Arial" w:cs="Arial"/>
          <w:color w:val="000000" w:themeColor="text1"/>
          <w:sz w:val="21"/>
          <w:szCs w:val="21"/>
        </w:rPr>
        <w:t xml:space="preserve"> vorliegen. </w:t>
      </w:r>
    </w:p>
    <w:p w14:paraId="1B324438" w14:textId="77777777" w:rsidR="004E3FFC" w:rsidRPr="00730E67" w:rsidRDefault="004E3FFC" w:rsidP="00795C5F">
      <w:pPr>
        <w:jc w:val="both"/>
        <w:rPr>
          <w:rFonts w:cs="Arial"/>
        </w:rPr>
      </w:pPr>
    </w:p>
    <w:p w14:paraId="5FE93205" w14:textId="31A2908B" w:rsidR="1D5D996F" w:rsidRPr="00730E67" w:rsidRDefault="50D9E008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  <w:r w:rsidRPr="00730E67">
        <w:rPr>
          <w:rFonts w:eastAsia="Arial" w:cs="Arial"/>
          <w:color w:val="000000" w:themeColor="text1"/>
          <w:sz w:val="21"/>
          <w:szCs w:val="21"/>
        </w:rPr>
        <w:t>D</w:t>
      </w:r>
      <w:r w:rsidR="23123361" w:rsidRPr="00730E67">
        <w:rPr>
          <w:rFonts w:eastAsia="Arial" w:cs="Arial"/>
          <w:color w:val="000000" w:themeColor="text1"/>
          <w:sz w:val="21"/>
          <w:szCs w:val="21"/>
        </w:rPr>
        <w:t xml:space="preserve">er Nachweis der </w:t>
      </w:r>
      <w:r w:rsidR="1D5D996F" w:rsidRPr="00730E67">
        <w:rPr>
          <w:rFonts w:eastAsia="Arial" w:cs="Arial"/>
          <w:color w:val="000000" w:themeColor="text1"/>
          <w:sz w:val="21"/>
          <w:szCs w:val="21"/>
        </w:rPr>
        <w:t xml:space="preserve">Fremdüberwachung </w:t>
      </w:r>
      <w:r w:rsidR="23123361" w:rsidRPr="00730E67">
        <w:rPr>
          <w:rFonts w:eastAsia="Arial" w:cs="Arial"/>
          <w:color w:val="000000" w:themeColor="text1"/>
          <w:sz w:val="21"/>
          <w:szCs w:val="21"/>
        </w:rPr>
        <w:t xml:space="preserve">muss </w:t>
      </w:r>
      <w:r w:rsidR="1D5D996F" w:rsidRPr="00730E67">
        <w:rPr>
          <w:rFonts w:eastAsia="Arial" w:cs="Arial"/>
          <w:color w:val="000000" w:themeColor="text1"/>
          <w:sz w:val="21"/>
          <w:szCs w:val="21"/>
        </w:rPr>
        <w:t>durch ein</w:t>
      </w:r>
      <w:r w:rsidR="23123361" w:rsidRPr="00730E67">
        <w:rPr>
          <w:rFonts w:eastAsia="Arial" w:cs="Arial"/>
          <w:color w:val="000000" w:themeColor="text1"/>
          <w:sz w:val="21"/>
          <w:szCs w:val="21"/>
        </w:rPr>
        <w:t>e</w:t>
      </w:r>
      <w:r w:rsidR="1D5D996F" w:rsidRPr="00730E67">
        <w:rPr>
          <w:rFonts w:eastAsia="Arial" w:cs="Arial"/>
          <w:color w:val="000000" w:themeColor="text1"/>
          <w:sz w:val="21"/>
          <w:szCs w:val="21"/>
        </w:rPr>
        <w:t xml:space="preserve"> nach DIN EN ISO / IEC 17025 akkreditierte Zertifizierungs- und Zulassungsstelle aus dem europäischen Raum </w:t>
      </w:r>
      <w:r w:rsidR="5538B3DC" w:rsidRPr="00730E67">
        <w:rPr>
          <w:rFonts w:eastAsia="Arial" w:cs="Arial"/>
          <w:color w:val="000000" w:themeColor="text1"/>
          <w:sz w:val="21"/>
          <w:szCs w:val="21"/>
        </w:rPr>
        <w:t>erfolgen</w:t>
      </w:r>
      <w:r w:rsidR="1D5D996F" w:rsidRPr="00730E67">
        <w:rPr>
          <w:rFonts w:eastAsia="Arial" w:cs="Arial"/>
          <w:color w:val="000000" w:themeColor="text1"/>
          <w:sz w:val="21"/>
          <w:szCs w:val="21"/>
        </w:rPr>
        <w:t>.</w:t>
      </w:r>
      <w:r w:rsidR="5538B3DC" w:rsidRPr="00730E67">
        <w:rPr>
          <w:rFonts w:eastAsia="Arial" w:cs="Arial"/>
          <w:color w:val="000000" w:themeColor="text1"/>
          <w:sz w:val="21"/>
          <w:szCs w:val="21"/>
        </w:rPr>
        <w:t xml:space="preserve"> </w:t>
      </w:r>
      <w:r w:rsidR="4C235F85" w:rsidRPr="00730E67">
        <w:rPr>
          <w:rFonts w:eastAsia="Arial" w:cs="Arial"/>
          <w:color w:val="000000" w:themeColor="text1"/>
          <w:sz w:val="21"/>
          <w:szCs w:val="21"/>
        </w:rPr>
        <w:t>E</w:t>
      </w:r>
      <w:r w:rsidR="0EB4B2A5" w:rsidRPr="00730E67">
        <w:rPr>
          <w:rFonts w:eastAsia="Arial" w:cs="Arial"/>
          <w:color w:val="000000" w:themeColor="text1"/>
          <w:sz w:val="21"/>
          <w:szCs w:val="21"/>
        </w:rPr>
        <w:t xml:space="preserve">s ist der Nachweis von mindestens </w:t>
      </w:r>
      <w:r w:rsidR="3B7241BA" w:rsidRPr="00730E67">
        <w:rPr>
          <w:rFonts w:eastAsia="Arial" w:cs="Arial"/>
          <w:color w:val="000000" w:themeColor="text1"/>
          <w:sz w:val="21"/>
          <w:szCs w:val="21"/>
        </w:rPr>
        <w:t>6</w:t>
      </w:r>
      <w:r w:rsidR="0EB4B2A5" w:rsidRPr="00730E67">
        <w:rPr>
          <w:rFonts w:eastAsia="Arial" w:cs="Arial"/>
          <w:color w:val="000000" w:themeColor="text1"/>
          <w:sz w:val="21"/>
          <w:szCs w:val="21"/>
        </w:rPr>
        <w:t xml:space="preserve"> Jahren erfolgreicher Fremdüberwachung vorzulegen.</w:t>
      </w:r>
    </w:p>
    <w:p w14:paraId="0AF00BCB" w14:textId="292486A4" w:rsidR="55D4F973" w:rsidRPr="00730E67" w:rsidRDefault="55D4F973" w:rsidP="00795C5F">
      <w:pPr>
        <w:jc w:val="both"/>
        <w:rPr>
          <w:rFonts w:cs="Arial"/>
        </w:rPr>
      </w:pPr>
    </w:p>
    <w:p w14:paraId="67C623AE" w14:textId="5FB3BDD8" w:rsidR="3CA88A78" w:rsidRPr="00730E67" w:rsidRDefault="3CA88A78" w:rsidP="00795C5F">
      <w:pPr>
        <w:jc w:val="both"/>
        <w:rPr>
          <w:rFonts w:cs="Arial"/>
        </w:rPr>
      </w:pPr>
      <w:r w:rsidRPr="00730E67">
        <w:rPr>
          <w:rFonts w:cs="Arial"/>
        </w:rPr>
        <w:t xml:space="preserve">Das Herstellwerk muss über die Konformitätsnachweise der eingesetzten Rohstoffe für die Rohrproduktion sowie alle prozessrelevanten Parameter verfügen. </w:t>
      </w:r>
    </w:p>
    <w:p w14:paraId="79F4FADA" w14:textId="49AD6485" w:rsidR="5FA392D4" w:rsidRPr="00730E67" w:rsidRDefault="5FA392D4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4B55D566" w14:textId="049FDDD9" w:rsidR="18AD675E" w:rsidRPr="00730E67" w:rsidRDefault="56378450" w:rsidP="0B40C893">
      <w:pPr>
        <w:jc w:val="both"/>
        <w:rPr>
          <w:rFonts w:cs="Arial"/>
        </w:rPr>
      </w:pPr>
      <w:r w:rsidRPr="00730E67">
        <w:rPr>
          <w:rFonts w:cs="Arial"/>
        </w:rPr>
        <w:t xml:space="preserve">Der Produktionsstandort des Lieferanten muss über ein etabliertes und zertifiziertes Qualitätssicherungssystem nach ISO 9001, Energiemanagement nach ISO 50001, Umweltmanagement nach ISO 14001 </w:t>
      </w:r>
      <w:r w:rsidR="3599DD65" w:rsidRPr="00730E67">
        <w:rPr>
          <w:rFonts w:cs="Arial"/>
        </w:rPr>
        <w:t>ve</w:t>
      </w:r>
      <w:r w:rsidR="43E1316A" w:rsidRPr="00730E67">
        <w:rPr>
          <w:rFonts w:cs="Arial"/>
        </w:rPr>
        <w:t>rfügen.</w:t>
      </w:r>
    </w:p>
    <w:p w14:paraId="36570478" w14:textId="049FDDD9" w:rsidR="18AD675E" w:rsidRPr="00730E67" w:rsidRDefault="18AD675E" w:rsidP="38502256">
      <w:pPr>
        <w:jc w:val="both"/>
        <w:rPr>
          <w:rFonts w:cs="Arial"/>
        </w:rPr>
      </w:pPr>
    </w:p>
    <w:p w14:paraId="6B38CFF7" w14:textId="71BA1D61" w:rsidR="3FAE7D02" w:rsidRPr="00730E67" w:rsidRDefault="3FAE7D02" w:rsidP="00795C5F">
      <w:pPr>
        <w:ind w:right="-1"/>
        <w:jc w:val="both"/>
        <w:rPr>
          <w:rFonts w:cs="Arial"/>
        </w:rPr>
      </w:pPr>
      <w:r w:rsidRPr="00730E67">
        <w:rPr>
          <w:rFonts w:cs="Arial"/>
        </w:rPr>
        <w:t>Nachweise sind in englischer und deutscher Sprache zulässig. Anderssprachige Unterlagen sind beglaubigt übersetzt beizubringen.</w:t>
      </w:r>
    </w:p>
    <w:p w14:paraId="08291367" w14:textId="2951D73F" w:rsidR="45D6DC4F" w:rsidRPr="00730E67" w:rsidRDefault="45D6DC4F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749BBE3C" w14:textId="785DE44B" w:rsidR="70E694DC" w:rsidRPr="00730E67" w:rsidRDefault="38502256" w:rsidP="38502256">
      <w:pPr>
        <w:ind w:right="-1"/>
        <w:jc w:val="both"/>
        <w:rPr>
          <w:rFonts w:cs="Arial"/>
        </w:rPr>
      </w:pPr>
      <w:r w:rsidRPr="00730E67">
        <w:rPr>
          <w:rFonts w:cs="Arial"/>
        </w:rPr>
        <w:t>Die Rohre müssen über eine ausreichende Langzeitwiderstandsfähigkeit gegenüber kombinierter chemischer und mechanischer Belastung verfügen. Der Nachweis über eine max. Langzeitrandfaserdehnung von min. 1 % beim Strain Corrosion Test für die Bemessungsdauer von 50 Jahren ist nach DIN EN 1120 vorzulegen.</w:t>
      </w:r>
    </w:p>
    <w:p w14:paraId="542FDB6C" w14:textId="785DE44B" w:rsidR="70E694DC" w:rsidRPr="00730E67" w:rsidRDefault="70E694DC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2D6DD583" w14:textId="4715419B" w:rsidR="70E694DC" w:rsidRPr="00730E67" w:rsidRDefault="2A1A44BC" w:rsidP="2A1A44BC">
      <w:pPr>
        <w:jc w:val="both"/>
        <w:rPr>
          <w:rFonts w:cs="Arial"/>
        </w:rPr>
      </w:pPr>
      <w:r w:rsidRPr="00730E67">
        <w:rPr>
          <w:rFonts w:cs="Arial"/>
        </w:rPr>
        <w:t xml:space="preserve">Die Rohre müssen über eine ausreichende Widerstandsfähigkeit gegenüber Abrieb verfügen. Bei Prüfung der Abriebfestigkeit nach EN 295-3 oder CEN TR 15729 </w:t>
      </w:r>
      <w:r w:rsidRPr="00730E67">
        <w:rPr>
          <w:rFonts w:eastAsia="Arial" w:cs="Arial"/>
        </w:rPr>
        <w:t>über 100.000 Lastspiele muss eine</w:t>
      </w:r>
      <w:r w:rsidRPr="00730E67">
        <w:rPr>
          <w:rFonts w:cs="Arial"/>
        </w:rPr>
        <w:t xml:space="preserve"> </w:t>
      </w:r>
      <w:r w:rsidRPr="00730E67">
        <w:rPr>
          <w:rFonts w:cs="Arial"/>
          <w:color w:val="000000" w:themeColor="text1"/>
        </w:rPr>
        <w:t>2</w:t>
      </w:r>
      <w:r w:rsidRPr="00730E67">
        <w:rPr>
          <w:rFonts w:cs="Arial"/>
        </w:rPr>
        <w:t xml:space="preserve">-fache Sicherheit gegenüber der Dicke der inneren </w:t>
      </w:r>
      <w:r w:rsidRPr="00730E67">
        <w:rPr>
          <w:rFonts w:cs="Arial"/>
          <w:color w:val="000000" w:themeColor="text1"/>
        </w:rPr>
        <w:t xml:space="preserve">Verschleißschutzschicht </w:t>
      </w:r>
      <w:r w:rsidRPr="00730E67">
        <w:rPr>
          <w:rFonts w:cs="Arial"/>
        </w:rPr>
        <w:t>nachgewiesen werden.</w:t>
      </w:r>
    </w:p>
    <w:p w14:paraId="7DC123EA" w14:textId="77777777" w:rsidR="2A1A44BC" w:rsidRPr="00730E67" w:rsidRDefault="2A1A44BC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53ABBCCF" w14:textId="40CD03D1" w:rsidR="70E694DC" w:rsidRPr="00730E67" w:rsidRDefault="00FE581B" w:rsidP="5C20EE66">
      <w:pPr>
        <w:jc w:val="both"/>
        <w:rPr>
          <w:rFonts w:cs="Arial"/>
        </w:rPr>
      </w:pPr>
      <w:r w:rsidRPr="00730E67">
        <w:rPr>
          <w:rFonts w:cs="Arial"/>
        </w:rPr>
        <w:t>Vortriebsrohre</w:t>
      </w:r>
      <w:r w:rsidR="00C224BD" w:rsidRPr="00730E67">
        <w:rPr>
          <w:rFonts w:cs="Arial"/>
        </w:rPr>
        <w:t xml:space="preserve"> </w:t>
      </w:r>
      <w:r w:rsidR="5C20EE66" w:rsidRPr="00730E67">
        <w:rPr>
          <w:rFonts w:cs="Arial"/>
        </w:rPr>
        <w:t xml:space="preserve">sind mit einer inneren Verschleißschutzschicht von min. 0,8 mm dick auszuführen. </w:t>
      </w:r>
    </w:p>
    <w:p w14:paraId="3D36E03F" w14:textId="77777777" w:rsidR="5C20EE66" w:rsidRPr="00730E67" w:rsidRDefault="5C20EE66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68FF1F05" w14:textId="7476C4BC" w:rsidR="70E694DC" w:rsidRPr="00730E67" w:rsidRDefault="3C089DF8" w:rsidP="3C089DF8">
      <w:pPr>
        <w:jc w:val="both"/>
        <w:rPr>
          <w:rFonts w:cs="Arial"/>
        </w:rPr>
      </w:pPr>
      <w:r w:rsidRPr="00730E67">
        <w:rPr>
          <w:rFonts w:cs="Arial"/>
        </w:rPr>
        <w:t>Rohr</w:t>
      </w:r>
      <w:r w:rsidR="00C224BD" w:rsidRPr="00730E67">
        <w:rPr>
          <w:rFonts w:cs="Arial"/>
        </w:rPr>
        <w:t>e</w:t>
      </w:r>
      <w:r w:rsidR="00FE581B" w:rsidRPr="00730E67">
        <w:rPr>
          <w:rFonts w:cs="Arial"/>
        </w:rPr>
        <w:t xml:space="preserve"> und</w:t>
      </w:r>
      <w:r w:rsidRPr="00730E67">
        <w:rPr>
          <w:rFonts w:cs="Arial"/>
        </w:rPr>
        <w:t xml:space="preserve"> Kupplung</w:t>
      </w:r>
      <w:r w:rsidR="00C224BD" w:rsidRPr="00730E67">
        <w:rPr>
          <w:rFonts w:cs="Arial"/>
        </w:rPr>
        <w:t xml:space="preserve">en </w:t>
      </w:r>
      <w:r w:rsidRPr="00730E67">
        <w:rPr>
          <w:rFonts w:cs="Arial"/>
        </w:rPr>
        <w:t>m</w:t>
      </w:r>
      <w:r w:rsidR="00C224BD" w:rsidRPr="00730E67">
        <w:rPr>
          <w:rFonts w:cs="Arial"/>
        </w:rPr>
        <w:t>ü</w:t>
      </w:r>
      <w:r w:rsidRPr="00730E67">
        <w:rPr>
          <w:rFonts w:cs="Arial"/>
        </w:rPr>
        <w:t>ss</w:t>
      </w:r>
      <w:r w:rsidR="00C224BD" w:rsidRPr="00730E67">
        <w:rPr>
          <w:rFonts w:cs="Arial"/>
        </w:rPr>
        <w:t>en</w:t>
      </w:r>
      <w:r w:rsidRPr="00730E67">
        <w:rPr>
          <w:rFonts w:cs="Arial"/>
        </w:rPr>
        <w:t xml:space="preserve"> eine eineindeutige serielle Kennzeichnung aufweisen, um während der Verlegung diese Daten zum Zwecke der Qualitätsverfolgung aufzeichnen zu können.</w:t>
      </w:r>
    </w:p>
    <w:p w14:paraId="6B6D4662" w14:textId="77777777" w:rsidR="3C089DF8" w:rsidRPr="00730E67" w:rsidRDefault="3C089DF8" w:rsidP="00795C5F">
      <w:p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67E8464F" w14:textId="3A2815E9" w:rsidR="36C5583F" w:rsidRPr="00730E67" w:rsidRDefault="1CD1A1FA" w:rsidP="00795C5F">
      <w:pPr>
        <w:jc w:val="both"/>
        <w:rPr>
          <w:rFonts w:cs="Arial"/>
        </w:rPr>
      </w:pPr>
      <w:r w:rsidRPr="00730E67">
        <w:rPr>
          <w:rFonts w:cs="Arial"/>
        </w:rPr>
        <w:t xml:space="preserve">Die statische Berechnung ist gemäß </w:t>
      </w:r>
      <w:r w:rsidR="00FE581B" w:rsidRPr="00730E67">
        <w:rPr>
          <w:rFonts w:cs="Arial"/>
        </w:rPr>
        <w:t>DWA</w:t>
      </w:r>
      <w:r w:rsidRPr="00730E67">
        <w:rPr>
          <w:rFonts w:cs="Arial"/>
        </w:rPr>
        <w:t>-A 1</w:t>
      </w:r>
      <w:r w:rsidR="00FE581B" w:rsidRPr="00730E67">
        <w:rPr>
          <w:rFonts w:cs="Arial"/>
        </w:rPr>
        <w:t>61</w:t>
      </w:r>
      <w:r w:rsidRPr="00730E67">
        <w:rPr>
          <w:rFonts w:cs="Arial"/>
        </w:rPr>
        <w:t xml:space="preserve"> für biegeweiche Rohrsysteme mit Nennsteifigkeit (nicht Elastizitätsmodul) vorzunehmen.</w:t>
      </w:r>
      <w:r w:rsidR="00B43EAB" w:rsidRPr="00730E67">
        <w:rPr>
          <w:rFonts w:cs="Arial"/>
        </w:rPr>
        <w:t xml:space="preserve"> </w:t>
      </w:r>
      <w:r w:rsidR="36C5583F" w:rsidRPr="00730E67">
        <w:rPr>
          <w:rFonts w:cs="Arial"/>
        </w:rPr>
        <w:t>Zur statischen Berechnung ist die Anwendung der Materialkennwerte nach den ATV Regelwerk nur zulässig, sofern diese Kennwerte Mindestanforderungen der zutreffenden Produktnorm EN 14364 sind.</w:t>
      </w:r>
    </w:p>
    <w:p w14:paraId="466EC155" w14:textId="77777777" w:rsidR="00B05812" w:rsidRPr="00730E67" w:rsidRDefault="00B05812" w:rsidP="007318F4">
      <w:pPr>
        <w:jc w:val="both"/>
        <w:rPr>
          <w:rFonts w:cs="Arial"/>
        </w:rPr>
      </w:pPr>
    </w:p>
    <w:p w14:paraId="1B0282D6" w14:textId="578BC8E3" w:rsidR="00DF6460" w:rsidRPr="00730E67" w:rsidRDefault="00FE581B" w:rsidP="007318F4">
      <w:pPr>
        <w:tabs>
          <w:tab w:val="left" w:pos="1701"/>
        </w:tabs>
        <w:jc w:val="both"/>
        <w:rPr>
          <w:rFonts w:cs="Arial"/>
          <w:szCs w:val="22"/>
        </w:rPr>
      </w:pPr>
      <w:r w:rsidRPr="00730E67">
        <w:rPr>
          <w:rFonts w:cs="Arial"/>
        </w:rPr>
        <w:t>Die zulässige Vortriebkraft der GFK-Vortriebsrohre in der Amiblu Typenbezeichnung wird nach ISO 25780 mit dem</w:t>
      </w:r>
      <w:r w:rsidR="006519A3" w:rsidRPr="00730E67">
        <w:rPr>
          <w:rFonts w:cs="Arial"/>
        </w:rPr>
        <w:t xml:space="preserve"> </w:t>
      </w:r>
      <w:r w:rsidRPr="00730E67">
        <w:rPr>
          <w:rFonts w:cs="Arial"/>
        </w:rPr>
        <w:t>Sicherheitsfaktor SF=3,5 berechnet. Das gewählte Einbauverfahren kann im Nachweis nach DWA-A161 die zulässige</w:t>
      </w:r>
      <w:r w:rsidR="006519A3" w:rsidRPr="00730E67">
        <w:rPr>
          <w:rFonts w:cs="Arial"/>
        </w:rPr>
        <w:t xml:space="preserve"> </w:t>
      </w:r>
      <w:r w:rsidRPr="00730E67">
        <w:rPr>
          <w:rFonts w:cs="Arial"/>
        </w:rPr>
        <w:t>Vortriebskraft der Rohre zusätzlich einschränken. Die anzusetzende Vortriebskraft in der Bauausführung ist in</w:t>
      </w:r>
      <w:r w:rsidR="006519A3" w:rsidRPr="00730E67">
        <w:rPr>
          <w:rFonts w:cs="Arial"/>
        </w:rPr>
        <w:t xml:space="preserve"> </w:t>
      </w:r>
      <w:r w:rsidRPr="00730E67">
        <w:rPr>
          <w:rFonts w:cs="Arial"/>
        </w:rPr>
        <w:t>Abstimmung mit der Bauüberwachung zu wählen. Die Vortriebskräfte nach DWA-A161 sind je Lastfall ausgewiesen.</w:t>
      </w:r>
    </w:p>
    <w:p w14:paraId="50B4B13C" w14:textId="77777777" w:rsidR="00AD7845" w:rsidRPr="00730E67" w:rsidRDefault="00AD7845" w:rsidP="00AD7845">
      <w:pPr>
        <w:tabs>
          <w:tab w:val="left" w:pos="1701"/>
        </w:tabs>
        <w:ind w:right="-1"/>
        <w:jc w:val="both"/>
        <w:rPr>
          <w:rFonts w:cs="Arial"/>
        </w:rPr>
      </w:pPr>
    </w:p>
    <w:p w14:paraId="4C8FFB52" w14:textId="77777777" w:rsidR="00011B74" w:rsidRPr="00730E67" w:rsidRDefault="00011B74" w:rsidP="007318F4">
      <w:pPr>
        <w:tabs>
          <w:tab w:val="left" w:pos="1701"/>
        </w:tabs>
        <w:jc w:val="both"/>
        <w:rPr>
          <w:rFonts w:cs="Arial"/>
        </w:rPr>
      </w:pPr>
    </w:p>
    <w:p w14:paraId="6621F765" w14:textId="77777777" w:rsidR="00AD7845" w:rsidRPr="00730E67" w:rsidRDefault="00AD7845" w:rsidP="00AD7845">
      <w:pPr>
        <w:tabs>
          <w:tab w:val="left" w:pos="1701"/>
        </w:tabs>
        <w:ind w:right="-1"/>
        <w:jc w:val="both"/>
        <w:rPr>
          <w:rFonts w:cs="Arial"/>
          <w:szCs w:val="22"/>
        </w:rPr>
      </w:pPr>
    </w:p>
    <w:p w14:paraId="0C917480" w14:textId="61461399" w:rsidR="00F834CF" w:rsidRPr="00730E67" w:rsidRDefault="00F834CF" w:rsidP="007318F4">
      <w:pPr>
        <w:rPr>
          <w:rFonts w:cs="Arial"/>
          <w:b/>
        </w:rPr>
      </w:pPr>
      <w:r w:rsidRPr="00730E67">
        <w:rPr>
          <w:rFonts w:cs="Arial"/>
          <w:b/>
        </w:rPr>
        <w:t xml:space="preserve">Vertragsbestandteile in </w:t>
      </w:r>
      <w:r w:rsidR="00FB2E7E" w:rsidRPr="00730E67">
        <w:rPr>
          <w:rFonts w:cs="Arial"/>
          <w:b/>
        </w:rPr>
        <w:t>der jeweils aktuell gültigen</w:t>
      </w:r>
      <w:r w:rsidRPr="00730E67">
        <w:rPr>
          <w:rFonts w:cs="Arial"/>
          <w:b/>
        </w:rPr>
        <w:t xml:space="preserve"> Ausgabe sind:</w:t>
      </w:r>
    </w:p>
    <w:p w14:paraId="432F0740" w14:textId="77777777" w:rsidR="00F834CF" w:rsidRPr="00730E67" w:rsidRDefault="00F834CF" w:rsidP="007318F4">
      <w:pPr>
        <w:rPr>
          <w:rFonts w:cs="Arial"/>
          <w:szCs w:val="22"/>
        </w:rPr>
      </w:pPr>
    </w:p>
    <w:p w14:paraId="45EDB89A" w14:textId="77777777" w:rsidR="006519A3" w:rsidRPr="00730E67" w:rsidRDefault="006519A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  <w:lang w:val="en-GB"/>
        </w:rPr>
      </w:pPr>
      <w:r w:rsidRPr="00730E67">
        <w:rPr>
          <w:rFonts w:cs="Arial"/>
          <w:lang w:val="en-GB"/>
        </w:rPr>
        <w:t>ISO 25780 - Plastics piping systems for pressure and non-pressure water supply, irrigation, drainage or sewerage —Glass-reinforced thermosetting plastics (GRP) systems based on unsaturated polyester (UP) resin — Pipes with flexible joints intended to be installed using jacking techniques</w:t>
      </w:r>
    </w:p>
    <w:p w14:paraId="7ADB3919" w14:textId="77777777" w:rsidR="006519A3" w:rsidRPr="00730E67" w:rsidRDefault="006519A3" w:rsidP="005203C3">
      <w:pPr>
        <w:pStyle w:val="Listenabsatz"/>
        <w:ind w:left="426" w:hanging="426"/>
        <w:rPr>
          <w:rFonts w:cs="Arial"/>
          <w:lang w:val="en-GB"/>
        </w:rPr>
      </w:pPr>
    </w:p>
    <w:p w14:paraId="1E6D1DD4" w14:textId="1E4C8408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DIN EN 14364: Kunststoff-Rohrleitungssysteme für Abwasserleitungen und -kanäle mit oder ohne Druck – Glasfaserverstärkte duroplastische Kunststoffe (GFK) auf der Basis von ungesättigtem Polyesterharz (UP) – Festlegungen für Rohre, Formstücke und Verbindungen</w:t>
      </w:r>
    </w:p>
    <w:p w14:paraId="5B1E1904" w14:textId="77777777" w:rsidR="005444A1" w:rsidRPr="00730E67" w:rsidRDefault="005444A1" w:rsidP="005203C3">
      <w:pPr>
        <w:ind w:left="426" w:hanging="426"/>
        <w:rPr>
          <w:rFonts w:cs="Arial"/>
        </w:rPr>
      </w:pPr>
    </w:p>
    <w:p w14:paraId="2CB2A7D7" w14:textId="08D25E66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 xml:space="preserve">DIN 16868-1/2: Rohre aus glasfaserverstärktem Polyesterharz (UP-GF); gewickelt, gefüllt </w:t>
      </w:r>
    </w:p>
    <w:p w14:paraId="5CDDA078" w14:textId="77777777" w:rsidR="005444A1" w:rsidRPr="00730E67" w:rsidRDefault="005444A1" w:rsidP="005203C3">
      <w:pPr>
        <w:pStyle w:val="Listenabsatz"/>
        <w:ind w:left="426" w:hanging="426"/>
        <w:rPr>
          <w:rFonts w:cs="Arial"/>
        </w:rPr>
      </w:pPr>
    </w:p>
    <w:p w14:paraId="3D6212BB" w14:textId="77777777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  <w:szCs w:val="22"/>
        </w:rPr>
        <w:t>DIN 16869-1/2: Rohre aus glasfaserverstärktem Polyesterharz (UP-GF); geschleudert, gefüllt</w:t>
      </w:r>
    </w:p>
    <w:p w14:paraId="7675626D" w14:textId="77777777" w:rsidR="005444A1" w:rsidRPr="00730E67" w:rsidRDefault="005444A1" w:rsidP="005203C3">
      <w:pPr>
        <w:ind w:left="426" w:hanging="426"/>
        <w:rPr>
          <w:rFonts w:cs="Arial"/>
        </w:rPr>
      </w:pPr>
    </w:p>
    <w:p w14:paraId="3BCE6B04" w14:textId="2123AD7E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  <w:szCs w:val="22"/>
        </w:rPr>
      </w:pPr>
      <w:r w:rsidRPr="00730E67">
        <w:rPr>
          <w:rFonts w:eastAsia="Calibri" w:cs="Arial"/>
          <w:szCs w:val="22"/>
          <w:lang w:eastAsia="en-US"/>
        </w:rPr>
        <w:t>DIN EN 1120: Kunststoff</w:t>
      </w:r>
      <w:r w:rsidR="00CD67EF" w:rsidRPr="00730E67">
        <w:rPr>
          <w:rFonts w:eastAsia="Calibri" w:cs="Arial"/>
          <w:szCs w:val="22"/>
          <w:lang w:eastAsia="en-US"/>
        </w:rPr>
        <w:t>-</w:t>
      </w:r>
      <w:r w:rsidRPr="00730E67">
        <w:rPr>
          <w:rFonts w:eastAsia="Calibri" w:cs="Arial"/>
          <w:szCs w:val="22"/>
          <w:lang w:eastAsia="en-US"/>
        </w:rPr>
        <w:t xml:space="preserve">Rohrleitungssysteme – Rohre und Formstücke aus glasfaserverstärkten duroplastischen Kunststoffen (GFK) – Ermittlung der Widerstandsfähigkeit gegen Chemiekalieneinwirkung von der Innenseite eines Abschnittes </w:t>
      </w:r>
      <w:r w:rsidRPr="00730E67">
        <w:rPr>
          <w:rFonts w:cs="Arial"/>
          <w:szCs w:val="22"/>
        </w:rPr>
        <w:t>im verformten Zustand</w:t>
      </w:r>
    </w:p>
    <w:p w14:paraId="1D6E554D" w14:textId="77777777" w:rsidR="005444A1" w:rsidRPr="00730E67" w:rsidRDefault="005444A1" w:rsidP="005203C3">
      <w:pPr>
        <w:ind w:left="426" w:hanging="426"/>
        <w:rPr>
          <w:rFonts w:cs="Arial"/>
          <w:szCs w:val="22"/>
        </w:rPr>
      </w:pPr>
    </w:p>
    <w:p w14:paraId="39183DEB" w14:textId="6BFE5DED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Zertifizierung nach DIN EN ISO 9001 als Nachweis des Qualitätsmanagementsystems des Rohrherstellers</w:t>
      </w:r>
    </w:p>
    <w:p w14:paraId="720C302B" w14:textId="77777777" w:rsidR="005444A1" w:rsidRPr="00730E67" w:rsidRDefault="005444A1" w:rsidP="005203C3">
      <w:pPr>
        <w:ind w:left="426" w:hanging="426"/>
        <w:rPr>
          <w:rFonts w:cs="Arial"/>
        </w:rPr>
      </w:pPr>
    </w:p>
    <w:p w14:paraId="214AD357" w14:textId="7EFEA779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DIN EN ISO 14001: Umweltmanagementsysteme</w:t>
      </w:r>
    </w:p>
    <w:p w14:paraId="0A6BC96B" w14:textId="77777777" w:rsidR="005444A1" w:rsidRPr="00730E67" w:rsidRDefault="005444A1" w:rsidP="005203C3">
      <w:pPr>
        <w:ind w:left="426" w:hanging="426"/>
        <w:rPr>
          <w:rFonts w:cs="Arial"/>
        </w:rPr>
      </w:pPr>
    </w:p>
    <w:p w14:paraId="4E9A7B88" w14:textId="3FA22029" w:rsidR="005444A1" w:rsidRPr="00730E67" w:rsidRDefault="005444A1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DIN EN ISO 50001: Energiema</w:t>
      </w:r>
      <w:r w:rsidR="57564EE5" w:rsidRPr="00730E67">
        <w:rPr>
          <w:rFonts w:cs="Arial"/>
        </w:rPr>
        <w:t>na</w:t>
      </w:r>
      <w:r w:rsidRPr="00730E67">
        <w:rPr>
          <w:rFonts w:cs="Arial"/>
        </w:rPr>
        <w:t>gementsysteme</w:t>
      </w:r>
    </w:p>
    <w:p w14:paraId="55C52A35" w14:textId="34CA7E6B" w:rsidR="6E67A4E7" w:rsidRPr="00730E67" w:rsidRDefault="6E67A4E7" w:rsidP="005203C3">
      <w:pPr>
        <w:ind w:left="426" w:hanging="426"/>
        <w:rPr>
          <w:rFonts w:cs="Arial"/>
        </w:rPr>
      </w:pPr>
    </w:p>
    <w:p w14:paraId="5404E3C0" w14:textId="1A1A6BF2" w:rsidR="347A3813" w:rsidRPr="00730E67" w:rsidRDefault="347A381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Nachweis von mindestens 6 Jahren erfolgreicher Fremdüberwachung durch ein nach DIN EN ISO / IEC 17025 akkreditiertes Prüflabor aus dem europäischen Raum</w:t>
      </w:r>
    </w:p>
    <w:p w14:paraId="0B3B94CC" w14:textId="77777777" w:rsidR="347A3813" w:rsidRPr="00730E67" w:rsidRDefault="347A3813" w:rsidP="005203C3">
      <w:pPr>
        <w:ind w:left="426" w:hanging="426"/>
        <w:rPr>
          <w:rFonts w:cs="Arial"/>
          <w:szCs w:val="22"/>
        </w:rPr>
      </w:pPr>
    </w:p>
    <w:p w14:paraId="7FCE3727" w14:textId="7FC73BFB" w:rsidR="006519A3" w:rsidRPr="00730E67" w:rsidRDefault="006519A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DWA-A125 - Rohrvortrieb und verwandte Verfahren</w:t>
      </w:r>
    </w:p>
    <w:p w14:paraId="45931D11" w14:textId="77777777" w:rsidR="006519A3" w:rsidRPr="00730E67" w:rsidRDefault="006519A3" w:rsidP="005203C3">
      <w:pPr>
        <w:pStyle w:val="Listenabsatz"/>
        <w:ind w:left="426" w:hanging="426"/>
        <w:rPr>
          <w:rFonts w:cs="Arial"/>
        </w:rPr>
      </w:pPr>
    </w:p>
    <w:p w14:paraId="5C25A72E" w14:textId="1182AA07" w:rsidR="00222529" w:rsidRPr="00730E67" w:rsidRDefault="006519A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DWA</w:t>
      </w:r>
      <w:r w:rsidR="00222529" w:rsidRPr="00730E67">
        <w:rPr>
          <w:rFonts w:cs="Arial"/>
        </w:rPr>
        <w:t>-A 1</w:t>
      </w:r>
      <w:r w:rsidRPr="00730E67">
        <w:rPr>
          <w:rFonts w:cs="Arial"/>
        </w:rPr>
        <w:t>61</w:t>
      </w:r>
      <w:r w:rsidR="00222529" w:rsidRPr="00730E67">
        <w:rPr>
          <w:rFonts w:cs="Arial"/>
        </w:rPr>
        <w:t xml:space="preserve">:  Statische Berechnung von </w:t>
      </w:r>
      <w:r w:rsidRPr="00730E67">
        <w:rPr>
          <w:rFonts w:cs="Arial"/>
        </w:rPr>
        <w:t>Vortriebsrohren</w:t>
      </w:r>
    </w:p>
    <w:p w14:paraId="764B9FE3" w14:textId="522B53F9" w:rsidR="605095D2" w:rsidRPr="00730E67" w:rsidRDefault="605095D2" w:rsidP="005203C3">
      <w:pPr>
        <w:ind w:left="426" w:hanging="426"/>
        <w:rPr>
          <w:rFonts w:cs="Arial"/>
        </w:rPr>
      </w:pPr>
    </w:p>
    <w:p w14:paraId="736B4A3F" w14:textId="77777777" w:rsidR="00222529" w:rsidRPr="00730E67" w:rsidRDefault="00222529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DIN EN 1991-2: Eurocode 1: Einwirkungen auf Tragwerke - Teil 2: Verkehrslasten auf Brücken</w:t>
      </w:r>
    </w:p>
    <w:p w14:paraId="4F3329D4" w14:textId="77777777" w:rsidR="00222529" w:rsidRPr="00730E67" w:rsidRDefault="00222529" w:rsidP="005203C3">
      <w:pPr>
        <w:ind w:left="426" w:hanging="426"/>
        <w:rPr>
          <w:rFonts w:cs="Arial"/>
        </w:rPr>
      </w:pPr>
    </w:p>
    <w:p w14:paraId="4C10A4A7" w14:textId="0B596408" w:rsidR="006519A3" w:rsidRPr="00730E67" w:rsidRDefault="006519A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Arbeitsblatt DWA-A139 - Einbau und Prüfung von Abwasserleitungen und Kanälen</w:t>
      </w:r>
    </w:p>
    <w:p w14:paraId="63E837E2" w14:textId="77777777" w:rsidR="006519A3" w:rsidRPr="00730E67" w:rsidRDefault="006519A3" w:rsidP="005203C3">
      <w:pPr>
        <w:ind w:left="426" w:hanging="426"/>
        <w:rPr>
          <w:rFonts w:cs="Arial"/>
        </w:rPr>
      </w:pPr>
    </w:p>
    <w:p w14:paraId="15D3053F" w14:textId="728757E0" w:rsidR="001439F0" w:rsidRPr="00730E67" w:rsidRDefault="7BFFFE93" w:rsidP="005203C3">
      <w:pPr>
        <w:pStyle w:val="Listenabsatz"/>
        <w:numPr>
          <w:ilvl w:val="0"/>
          <w:numId w:val="6"/>
        </w:numPr>
        <w:ind w:left="426" w:hanging="426"/>
        <w:rPr>
          <w:rFonts w:cs="Arial"/>
        </w:rPr>
      </w:pPr>
      <w:r w:rsidRPr="00730E67">
        <w:rPr>
          <w:rFonts w:cs="Arial"/>
        </w:rPr>
        <w:t>Verlegerichtlinien des Rohrherstellers</w:t>
      </w:r>
    </w:p>
    <w:p w14:paraId="13C3266D" w14:textId="28785FA2" w:rsidR="004E3FFC" w:rsidRPr="00730E67" w:rsidRDefault="004E3FFC">
      <w:pPr>
        <w:spacing w:after="160" w:line="259" w:lineRule="auto"/>
        <w:rPr>
          <w:rFonts w:cs="Arial"/>
        </w:rPr>
      </w:pPr>
      <w:r w:rsidRPr="00730E67">
        <w:rPr>
          <w:rFonts w:cs="Arial"/>
        </w:rPr>
        <w:br w:type="page"/>
      </w:r>
    </w:p>
    <w:p w14:paraId="2CF9A56A" w14:textId="77777777" w:rsidR="004E3FFC" w:rsidRPr="00730E67" w:rsidRDefault="004E3FFC" w:rsidP="007318F4">
      <w:pPr>
        <w:rPr>
          <w:rFonts w:cs="Arial"/>
        </w:rPr>
      </w:pPr>
    </w:p>
    <w:p w14:paraId="5DA1DC4B" w14:textId="7E2ED647" w:rsidR="002B1740" w:rsidRPr="00CA5471" w:rsidRDefault="008A048B" w:rsidP="002B1740">
      <w:pPr>
        <w:pStyle w:val="berschrift1"/>
        <w:numPr>
          <w:ilvl w:val="0"/>
          <w:numId w:val="24"/>
        </w:numPr>
        <w:rPr>
          <w:rFonts w:ascii="Arial" w:hAnsi="Arial" w:cs="Arial"/>
        </w:rPr>
      </w:pPr>
      <w:bookmarkStart w:id="6" w:name="_Toc180478424"/>
      <w:bookmarkStart w:id="7" w:name="_Toc180479396"/>
      <w:bookmarkStart w:id="8" w:name="_Toc1486912"/>
      <w:r w:rsidRPr="00CA5471">
        <w:rPr>
          <w:rFonts w:ascii="Arial" w:hAnsi="Arial" w:cs="Arial"/>
        </w:rPr>
        <w:t>GFK</w:t>
      </w:r>
      <w:r w:rsidR="001439F0" w:rsidRPr="00CA5471">
        <w:rPr>
          <w:rFonts w:ascii="Arial" w:hAnsi="Arial" w:cs="Arial"/>
        </w:rPr>
        <w:t xml:space="preserve"> </w:t>
      </w:r>
      <w:r w:rsidR="00EE6FBB" w:rsidRPr="00CA5471">
        <w:rPr>
          <w:rFonts w:ascii="Arial" w:hAnsi="Arial" w:cs="Arial"/>
        </w:rPr>
        <w:t xml:space="preserve">- </w:t>
      </w:r>
      <w:bookmarkEnd w:id="6"/>
      <w:bookmarkEnd w:id="7"/>
      <w:r w:rsidR="00631076" w:rsidRPr="00CA5471">
        <w:rPr>
          <w:rFonts w:ascii="Arial" w:hAnsi="Arial" w:cs="Arial"/>
        </w:rPr>
        <w:t xml:space="preserve">Vortriebsrohr </w:t>
      </w:r>
      <w:r w:rsidR="006D3E8B" w:rsidRPr="00CA5471">
        <w:rPr>
          <w:rFonts w:ascii="Arial" w:hAnsi="Arial" w:cs="Arial"/>
        </w:rPr>
        <w:t>bis PN1</w:t>
      </w:r>
      <w:bookmarkStart w:id="9" w:name="_Toc180478425"/>
      <w:bookmarkStart w:id="10" w:name="_Toc180479397"/>
      <w:bookmarkEnd w:id="8"/>
    </w:p>
    <w:p w14:paraId="65DF6657" w14:textId="77777777" w:rsidR="00222993" w:rsidRPr="00730E67" w:rsidRDefault="00222993" w:rsidP="00222993">
      <w:pPr>
        <w:rPr>
          <w:rFonts w:cs="Arial"/>
        </w:rPr>
      </w:pPr>
    </w:p>
    <w:p w14:paraId="0ED8CE4B" w14:textId="552D3F18" w:rsidR="00631076" w:rsidRPr="00730E67" w:rsidRDefault="008A048B" w:rsidP="006C7C5F">
      <w:pPr>
        <w:pStyle w:val="berschrift1"/>
        <w:numPr>
          <w:ilvl w:val="1"/>
          <w:numId w:val="24"/>
        </w:numPr>
        <w:ind w:left="567" w:hanging="567"/>
        <w:rPr>
          <w:rFonts w:ascii="Arial" w:hAnsi="Arial" w:cs="Arial"/>
          <w:b w:val="0"/>
        </w:rPr>
      </w:pPr>
      <w:bookmarkStart w:id="11" w:name="_Toc1486913"/>
      <w:r w:rsidRPr="00730E67">
        <w:rPr>
          <w:rFonts w:ascii="Arial" w:hAnsi="Arial" w:cs="Arial"/>
          <w:b w:val="0"/>
        </w:rPr>
        <w:t>GFK</w:t>
      </w:r>
      <w:r w:rsidR="00EE6FBB" w:rsidRPr="00730E67">
        <w:rPr>
          <w:rFonts w:ascii="Arial" w:hAnsi="Arial" w:cs="Arial"/>
          <w:b w:val="0"/>
        </w:rPr>
        <w:t>-</w:t>
      </w:r>
      <w:r w:rsidR="00631076" w:rsidRPr="00730E67">
        <w:rPr>
          <w:rFonts w:ascii="Arial" w:hAnsi="Arial" w:cs="Arial"/>
          <w:b w:val="0"/>
        </w:rPr>
        <w:t xml:space="preserve">Vortriebsrohr </w:t>
      </w:r>
      <w:r w:rsidR="005D7911" w:rsidRPr="00730E67">
        <w:rPr>
          <w:rFonts w:ascii="Arial" w:hAnsi="Arial" w:cs="Arial"/>
          <w:b w:val="0"/>
        </w:rPr>
        <w:t>mit Edelstahlkupplung</w:t>
      </w:r>
      <w:bookmarkStart w:id="12" w:name="_Hlk524621478"/>
      <w:bookmarkEnd w:id="9"/>
      <w:bookmarkEnd w:id="10"/>
      <w:bookmarkEnd w:id="11"/>
    </w:p>
    <w:p w14:paraId="43DA6990" w14:textId="77777777" w:rsidR="00222993" w:rsidRPr="00730E67" w:rsidRDefault="00222993" w:rsidP="00222993">
      <w:pPr>
        <w:rPr>
          <w:rFonts w:cs="Arial"/>
        </w:rPr>
      </w:pPr>
    </w:p>
    <w:p w14:paraId="7D9A7C8B" w14:textId="786445A2" w:rsidR="00631076" w:rsidRPr="00730E67" w:rsidRDefault="00631076" w:rsidP="00730E67">
      <w:bookmarkStart w:id="13" w:name="_Toc1478175"/>
      <w:bookmarkStart w:id="14" w:name="_Hlk287015"/>
      <w:r w:rsidRPr="00730E67">
        <w:t>Vortriebsrohre aus glasfaserverstärktem Polyesterharz (UP-GF) gemäß DIN EN 14364 und ISO 25780, mit einem Wandaufbau gemäß/analog DIN 16868 oder 16869</w:t>
      </w:r>
      <w:bookmarkEnd w:id="13"/>
      <w:r w:rsidRPr="00730E67">
        <w:t xml:space="preserve"> </w:t>
      </w:r>
      <w:bookmarkStart w:id="15" w:name="_Toc1478176"/>
      <w:bookmarkEnd w:id="14"/>
      <w:r w:rsidRPr="00730E67">
        <w:t>inkl. einer einseitig aufgezogenen Vortriebskupplung</w:t>
      </w:r>
      <w:bookmarkStart w:id="16" w:name="_Toc1478177"/>
      <w:bookmarkEnd w:id="15"/>
      <w:r w:rsidR="004E1E95">
        <w:t xml:space="preserve"> </w:t>
      </w:r>
      <w:r w:rsidRPr="00730E67">
        <w:t>einschl. dazugehörigem Dichtprofil liefern,</w:t>
      </w:r>
      <w:bookmarkEnd w:id="16"/>
      <w:r w:rsidRPr="00730E67">
        <w:t xml:space="preserve"> </w:t>
      </w:r>
      <w:bookmarkStart w:id="17" w:name="_Toc1478178"/>
      <w:r w:rsidRPr="00730E67">
        <w:t>zur Verwendungsstelle transportieren und unter Beachtung</w:t>
      </w:r>
      <w:bookmarkEnd w:id="17"/>
      <w:r w:rsidR="004E1E95">
        <w:t xml:space="preserve"> </w:t>
      </w:r>
      <w:bookmarkStart w:id="18" w:name="_Toc1478179"/>
      <w:r w:rsidRPr="00730E67">
        <w:t>der geltenden Vorschriften ordnungsgemäß im Vortrieb einbauen.</w:t>
      </w:r>
      <w:bookmarkEnd w:id="18"/>
    </w:p>
    <w:p w14:paraId="2AA8DCCE" w14:textId="77777777" w:rsidR="00631076" w:rsidRPr="00730E67" w:rsidRDefault="00631076" w:rsidP="00730E67"/>
    <w:p w14:paraId="2B2B8B80" w14:textId="0BB54944" w:rsidR="00631076" w:rsidRPr="00730E67" w:rsidRDefault="00631076" w:rsidP="00730E67">
      <w:bookmarkStart w:id="19" w:name="_Toc1478180"/>
      <w:r w:rsidRPr="00730E67">
        <w:t>Außendurchmesser:   OD</w:t>
      </w:r>
      <w:r w:rsidR="00C43738" w:rsidRPr="00730E67">
        <w:t xml:space="preserve"> …</w:t>
      </w:r>
      <w:r w:rsidRPr="00730E67">
        <w:t>.</w:t>
      </w:r>
      <w:bookmarkEnd w:id="19"/>
    </w:p>
    <w:p w14:paraId="40937DF9" w14:textId="77777777" w:rsidR="00631076" w:rsidRPr="00730E67" w:rsidRDefault="00631076" w:rsidP="00730E67">
      <w:bookmarkStart w:id="20" w:name="_Toc1478181"/>
      <w:r w:rsidRPr="00730E67">
        <w:t>Baulänge Einzelrohr:  3 m (2 m / 1 m)</w:t>
      </w:r>
      <w:bookmarkEnd w:id="20"/>
    </w:p>
    <w:p w14:paraId="75549671" w14:textId="7B86F996" w:rsidR="00631076" w:rsidRPr="00730E67" w:rsidRDefault="00631076" w:rsidP="00730E67">
      <w:bookmarkStart w:id="21" w:name="_Toc1478182"/>
      <w:r w:rsidRPr="00730E67">
        <w:t>Wanddicke (min): ...</w:t>
      </w:r>
      <w:r w:rsidR="00760DEA">
        <w:t>..</w:t>
      </w:r>
      <w:r w:rsidR="00C43738" w:rsidRPr="00730E67">
        <w:t>.</w:t>
      </w:r>
      <w:r w:rsidRPr="00730E67">
        <w:t xml:space="preserve"> mm</w:t>
      </w:r>
      <w:bookmarkEnd w:id="21"/>
    </w:p>
    <w:p w14:paraId="491C56D9" w14:textId="7496FCC7" w:rsidR="00631076" w:rsidRPr="00730E67" w:rsidRDefault="00631076" w:rsidP="00730E67">
      <w:bookmarkStart w:id="22" w:name="_Toc1478183"/>
      <w:r w:rsidRPr="00730E67">
        <w:t xml:space="preserve">Zul. max. Vorpresskraft*:  </w:t>
      </w:r>
      <w:proofErr w:type="spellStart"/>
      <w:r w:rsidR="00C43738" w:rsidRPr="00730E67">
        <w:t>Fperm</w:t>
      </w:r>
      <w:proofErr w:type="spellEnd"/>
      <w:r w:rsidR="00C43738" w:rsidRPr="00730E67">
        <w:t>:  …</w:t>
      </w:r>
      <w:r w:rsidR="00760DEA">
        <w:t>..</w:t>
      </w:r>
      <w:r w:rsidRPr="00730E67">
        <w:t>. kN (nach ISO 25780 / gerader Vortrieb)</w:t>
      </w:r>
      <w:bookmarkEnd w:id="22"/>
    </w:p>
    <w:p w14:paraId="4ACC006F" w14:textId="77777777" w:rsidR="005D7911" w:rsidRPr="00730E67" w:rsidRDefault="005D7911" w:rsidP="00730E67"/>
    <w:p w14:paraId="20A6B128" w14:textId="090A2ADD" w:rsidR="00631076" w:rsidRPr="00730E67" w:rsidRDefault="00631076" w:rsidP="00730E67">
      <w:bookmarkStart w:id="23" w:name="_Toc1478184"/>
      <w:r w:rsidRPr="00730E67">
        <w:t>*Die angegebene zulässige maximale Vorpresskraft (kN)</w:t>
      </w:r>
      <w:bookmarkEnd w:id="23"/>
      <w:r w:rsidRPr="00730E67">
        <w:t xml:space="preserve"> </w:t>
      </w:r>
      <w:bookmarkStart w:id="24" w:name="_Toc1478185"/>
      <w:r w:rsidRPr="00730E67">
        <w:t>entspricht einer 3,5-fachen Sicherheit gegenüber der</w:t>
      </w:r>
      <w:bookmarkEnd w:id="24"/>
      <w:r w:rsidRPr="00730E67">
        <w:t xml:space="preserve"> </w:t>
      </w:r>
      <w:bookmarkStart w:id="25" w:name="_Toc1478186"/>
      <w:r w:rsidRPr="00730E67">
        <w:t>rechnerischen Bruchlast. Durch die projektbezogene</w:t>
      </w:r>
      <w:bookmarkEnd w:id="25"/>
      <w:r w:rsidRPr="00730E67">
        <w:t xml:space="preserve"> </w:t>
      </w:r>
      <w:bookmarkStart w:id="26" w:name="_Toc1478187"/>
      <w:r w:rsidRPr="00730E67">
        <w:t>statische Berechnung können sich davon abweichende</w:t>
      </w:r>
      <w:bookmarkEnd w:id="26"/>
      <w:r w:rsidRPr="00730E67">
        <w:t xml:space="preserve"> </w:t>
      </w:r>
      <w:bookmarkStart w:id="27" w:name="_Toc1478188"/>
      <w:r w:rsidRPr="00730E67">
        <w:t>zulässige Presskräfte ergeben.</w:t>
      </w:r>
      <w:bookmarkEnd w:id="27"/>
    </w:p>
    <w:p w14:paraId="541E4896" w14:textId="77777777" w:rsidR="005D7911" w:rsidRPr="00730E67" w:rsidRDefault="005D7911" w:rsidP="00730E67"/>
    <w:p w14:paraId="41ADEAB9" w14:textId="77777777" w:rsidR="004E3FFC" w:rsidRPr="00730E67" w:rsidRDefault="00631076" w:rsidP="00730E67">
      <w:r w:rsidRPr="00730E67">
        <w:t>Kupplungstyp: SE (Edelstahl 1.4571 mit integrierter Dichtung)</w:t>
      </w:r>
      <w:bookmarkStart w:id="28" w:name="_Toc180478426"/>
      <w:bookmarkStart w:id="29" w:name="_Toc180479398"/>
      <w:bookmarkEnd w:id="12"/>
    </w:p>
    <w:p w14:paraId="6CA3F718" w14:textId="77777777" w:rsidR="00CA5471" w:rsidRDefault="00CA5471" w:rsidP="00CA5471"/>
    <w:p w14:paraId="65B2AE1E" w14:textId="518EC18C" w:rsidR="004E3FFC" w:rsidRPr="006C7C5F" w:rsidRDefault="005D7911" w:rsidP="006C7C5F">
      <w:pPr>
        <w:pStyle w:val="berschrift1"/>
        <w:numPr>
          <w:ilvl w:val="0"/>
          <w:numId w:val="36"/>
        </w:numPr>
        <w:tabs>
          <w:tab w:val="clear" w:pos="567"/>
          <w:tab w:val="left" w:pos="284"/>
        </w:tabs>
        <w:ind w:left="567" w:hanging="567"/>
        <w:rPr>
          <w:rFonts w:ascii="Arial" w:hAnsi="Arial" w:cs="Arial"/>
          <w:b w:val="0"/>
        </w:rPr>
      </w:pPr>
      <w:bookmarkStart w:id="30" w:name="_Toc1486914"/>
      <w:r w:rsidRPr="006C7C5F">
        <w:rPr>
          <w:rFonts w:ascii="Arial" w:hAnsi="Arial" w:cs="Arial"/>
          <w:b w:val="0"/>
        </w:rPr>
        <w:t>GFK-Vortriebsrohr mit GfK-Manschette</w:t>
      </w:r>
      <w:bookmarkStart w:id="31" w:name="_Toc1478190"/>
      <w:bookmarkEnd w:id="30"/>
    </w:p>
    <w:p w14:paraId="261083F5" w14:textId="77777777" w:rsidR="00730E67" w:rsidRPr="00730E67" w:rsidRDefault="00730E67" w:rsidP="00730E67"/>
    <w:p w14:paraId="65E09655" w14:textId="68E8171E" w:rsidR="005D7911" w:rsidRPr="00730E67" w:rsidRDefault="005D7911" w:rsidP="00730E67">
      <w:r w:rsidRPr="00730E67">
        <w:t>Vortriebsrohre aus glasfaserverstärktem Polyesterharz (UP-GF) gemäß DIN EN 14364 und ISO 25780, mit einem Wandaufbau gemäß/analog DIN 16868 oder 16869</w:t>
      </w:r>
      <w:bookmarkEnd w:id="31"/>
      <w:r w:rsidRPr="00730E67">
        <w:t xml:space="preserve"> </w:t>
      </w:r>
      <w:bookmarkStart w:id="32" w:name="_Toc1478191"/>
      <w:r w:rsidRPr="00730E67">
        <w:t>inkl. einer einseitig aufgezogenen Vortriebskupplung</w:t>
      </w:r>
      <w:bookmarkEnd w:id="32"/>
      <w:r w:rsidR="004E1E95">
        <w:t xml:space="preserve"> </w:t>
      </w:r>
      <w:bookmarkStart w:id="33" w:name="_Toc1478192"/>
      <w:r w:rsidRPr="00730E67">
        <w:t>einschl. dazugehörigem Dichtprofil liefern,</w:t>
      </w:r>
      <w:bookmarkEnd w:id="33"/>
      <w:r w:rsidRPr="00730E67">
        <w:t xml:space="preserve"> </w:t>
      </w:r>
      <w:bookmarkStart w:id="34" w:name="_Toc1478193"/>
      <w:r w:rsidRPr="00730E67">
        <w:t>zur Verwendungsstelle transportieren und unter Beachtung</w:t>
      </w:r>
      <w:bookmarkEnd w:id="34"/>
      <w:r w:rsidR="004E1E95">
        <w:t xml:space="preserve"> </w:t>
      </w:r>
      <w:bookmarkStart w:id="35" w:name="_Toc1478194"/>
      <w:r w:rsidRPr="00730E67">
        <w:t>der geltenden Vorschriften ordnungsgemäß im Vortrieb einbauen.</w:t>
      </w:r>
      <w:bookmarkEnd w:id="35"/>
    </w:p>
    <w:p w14:paraId="73F427BF" w14:textId="77777777" w:rsidR="005D7911" w:rsidRPr="00730E67" w:rsidRDefault="005D7911" w:rsidP="00730E67"/>
    <w:p w14:paraId="78A5C7AA" w14:textId="6C50DA10" w:rsidR="005D7911" w:rsidRPr="00730E67" w:rsidRDefault="005D7911" w:rsidP="00730E67">
      <w:bookmarkStart w:id="36" w:name="_Toc1478195"/>
      <w:r w:rsidRPr="00730E67">
        <w:t>Außendurchmesser:   OD</w:t>
      </w:r>
      <w:r w:rsidR="00C43738" w:rsidRPr="00730E67">
        <w:t xml:space="preserve"> …</w:t>
      </w:r>
      <w:r w:rsidRPr="00730E67">
        <w:t>.</w:t>
      </w:r>
      <w:bookmarkEnd w:id="36"/>
    </w:p>
    <w:p w14:paraId="0AE9B993" w14:textId="77777777" w:rsidR="005D7911" w:rsidRPr="00730E67" w:rsidRDefault="005D7911" w:rsidP="00730E67">
      <w:bookmarkStart w:id="37" w:name="_Toc1478196"/>
      <w:r w:rsidRPr="00730E67">
        <w:t>Baulänge Einzelrohr:  3 m (2 m / 1 m)</w:t>
      </w:r>
      <w:bookmarkEnd w:id="37"/>
    </w:p>
    <w:p w14:paraId="4380F6C6" w14:textId="1EFF1673" w:rsidR="005D7911" w:rsidRPr="00730E67" w:rsidRDefault="005D7911" w:rsidP="00730E67">
      <w:bookmarkStart w:id="38" w:name="_Toc1478197"/>
      <w:r w:rsidRPr="00730E67">
        <w:t>Wanddicke (min): ...</w:t>
      </w:r>
      <w:r w:rsidR="00760DEA">
        <w:t>..</w:t>
      </w:r>
      <w:r w:rsidRPr="00730E67">
        <w:t>.. mm</w:t>
      </w:r>
      <w:bookmarkEnd w:id="38"/>
    </w:p>
    <w:p w14:paraId="4587D083" w14:textId="24ED71A7" w:rsidR="005D7911" w:rsidRPr="00730E67" w:rsidRDefault="005D7911" w:rsidP="00730E67">
      <w:bookmarkStart w:id="39" w:name="_Toc1478198"/>
      <w:r w:rsidRPr="00730E67">
        <w:t xml:space="preserve">Zul. max. Vorpresskraft*:  </w:t>
      </w:r>
      <w:proofErr w:type="spellStart"/>
      <w:r w:rsidR="00C43738" w:rsidRPr="00730E67">
        <w:t>Fperm</w:t>
      </w:r>
      <w:proofErr w:type="spellEnd"/>
      <w:r w:rsidR="00C43738" w:rsidRPr="00730E67">
        <w:t xml:space="preserve">: </w:t>
      </w:r>
      <w:r w:rsidR="0082046D" w:rsidRPr="00730E67">
        <w:t xml:space="preserve"> …</w:t>
      </w:r>
      <w:r w:rsidR="00760DEA">
        <w:t>..</w:t>
      </w:r>
      <w:r w:rsidRPr="00730E67">
        <w:t>. kN (nach ISO 25780 / gerader Vortrieb)</w:t>
      </w:r>
      <w:bookmarkEnd w:id="39"/>
    </w:p>
    <w:p w14:paraId="06570F7B" w14:textId="77777777" w:rsidR="005D7911" w:rsidRPr="00730E67" w:rsidRDefault="005D7911" w:rsidP="00730E67"/>
    <w:p w14:paraId="20AC6ECA" w14:textId="3320D5BD" w:rsidR="005D7911" w:rsidRPr="00730E67" w:rsidRDefault="005D7911" w:rsidP="00730E67">
      <w:bookmarkStart w:id="40" w:name="_Toc1478199"/>
      <w:r w:rsidRPr="00730E67">
        <w:t>*Die angegebene zulässige maximale Vorpresskraft (kN)</w:t>
      </w:r>
      <w:bookmarkEnd w:id="40"/>
      <w:r w:rsidRPr="00730E67">
        <w:t xml:space="preserve"> </w:t>
      </w:r>
      <w:bookmarkStart w:id="41" w:name="_Toc1478200"/>
      <w:r w:rsidRPr="00730E67">
        <w:t>entspricht einer 3,5-fachen Sicherheit gegenüber der</w:t>
      </w:r>
      <w:bookmarkEnd w:id="41"/>
      <w:r w:rsidRPr="00730E67">
        <w:t xml:space="preserve"> </w:t>
      </w:r>
      <w:bookmarkStart w:id="42" w:name="_Toc1478201"/>
      <w:r w:rsidRPr="00730E67">
        <w:t>rechnerischen Bruchlast. Durch die projektbezogene</w:t>
      </w:r>
      <w:bookmarkEnd w:id="42"/>
      <w:r w:rsidRPr="00730E67">
        <w:t xml:space="preserve"> </w:t>
      </w:r>
      <w:bookmarkStart w:id="43" w:name="_Toc1478202"/>
      <w:r w:rsidRPr="00730E67">
        <w:t>statische Berechnung können sich davon abweichende</w:t>
      </w:r>
      <w:bookmarkEnd w:id="43"/>
      <w:r w:rsidRPr="00730E67">
        <w:t xml:space="preserve"> </w:t>
      </w:r>
      <w:bookmarkStart w:id="44" w:name="_Toc1478203"/>
      <w:r w:rsidRPr="00730E67">
        <w:t>zulässige Presskräfte ergeben.</w:t>
      </w:r>
      <w:bookmarkEnd w:id="44"/>
    </w:p>
    <w:p w14:paraId="12230E55" w14:textId="77777777" w:rsidR="005D7911" w:rsidRPr="00730E67" w:rsidRDefault="005D7911" w:rsidP="00730E67"/>
    <w:p w14:paraId="2A8B0129" w14:textId="2217226D" w:rsidR="009E3DD1" w:rsidRDefault="005D7911" w:rsidP="00730E67">
      <w:bookmarkStart w:id="45" w:name="_Toc1478204"/>
      <w:r w:rsidRPr="00730E67">
        <w:t>Kupplungstyp: G</w:t>
      </w:r>
      <w:r w:rsidR="00EE1959">
        <w:t>F</w:t>
      </w:r>
      <w:r w:rsidRPr="00730E67">
        <w:t>K</w:t>
      </w:r>
      <w:bookmarkEnd w:id="45"/>
      <w:r w:rsidRPr="00730E67">
        <w:t xml:space="preserve"> </w:t>
      </w:r>
      <w:bookmarkEnd w:id="28"/>
      <w:bookmarkEnd w:id="29"/>
    </w:p>
    <w:p w14:paraId="44366EE8" w14:textId="77777777" w:rsidR="009E3DD1" w:rsidRDefault="009E3DD1">
      <w:pPr>
        <w:spacing w:after="160" w:line="259" w:lineRule="auto"/>
      </w:pPr>
      <w:r>
        <w:br w:type="page"/>
      </w:r>
    </w:p>
    <w:p w14:paraId="1140A467" w14:textId="77777777" w:rsidR="00730E67" w:rsidRPr="00730E67" w:rsidRDefault="00730E67" w:rsidP="00730E67">
      <w:pPr>
        <w:rPr>
          <w:u w:val="single"/>
        </w:rPr>
      </w:pPr>
    </w:p>
    <w:p w14:paraId="1C96D4AE" w14:textId="40D42E7D" w:rsidR="00075112" w:rsidRPr="006C7C5F" w:rsidRDefault="00075112" w:rsidP="006C7C5F">
      <w:pPr>
        <w:pStyle w:val="berschrift1"/>
        <w:numPr>
          <w:ilvl w:val="0"/>
          <w:numId w:val="36"/>
        </w:numPr>
        <w:ind w:left="567" w:hanging="567"/>
        <w:rPr>
          <w:rFonts w:ascii="Arial" w:hAnsi="Arial" w:cs="Arial"/>
          <w:b w:val="0"/>
        </w:rPr>
      </w:pPr>
      <w:bookmarkStart w:id="46" w:name="_Toc1486915"/>
      <w:r w:rsidRPr="006C7C5F">
        <w:rPr>
          <w:rFonts w:ascii="Arial" w:hAnsi="Arial" w:cs="Arial"/>
          <w:b w:val="0"/>
        </w:rPr>
        <w:t>GFK-Vortriebsrohre als Anfangsrohr</w:t>
      </w:r>
      <w:bookmarkEnd w:id="46"/>
    </w:p>
    <w:p w14:paraId="270853CB" w14:textId="77777777" w:rsidR="00730E67" w:rsidRPr="00730E67" w:rsidRDefault="00730E67" w:rsidP="00730E67">
      <w:pPr>
        <w:rPr>
          <w:rFonts w:cs="Arial"/>
          <w:bCs/>
          <w:szCs w:val="22"/>
          <w:u w:val="single"/>
        </w:rPr>
      </w:pPr>
    </w:p>
    <w:p w14:paraId="6A3AA33B" w14:textId="2460F040" w:rsidR="00075112" w:rsidRDefault="007358B7" w:rsidP="00730E67">
      <w:bookmarkStart w:id="47" w:name="_Toc1478206"/>
      <w:r w:rsidRPr="00730E67">
        <w:t>Vortriebsrohre aus glasfaserverstärktem Polyesterharz (UP-GF) gemäß DIN EN 14364 und ISO 25780, mit einem Wandaufbau gemäß/analog DIN 16868 oder 16869</w:t>
      </w:r>
      <w:r w:rsidR="00075112" w:rsidRPr="00730E67">
        <w:t>, passend zum Rohrsystem der</w:t>
      </w:r>
      <w:bookmarkEnd w:id="47"/>
      <w:r w:rsidR="004F3DB9">
        <w:t xml:space="preserve"> </w:t>
      </w:r>
      <w:bookmarkStart w:id="48" w:name="_Toc1478207"/>
      <w:r w:rsidR="00075112" w:rsidRPr="00730E67">
        <w:t>Pos. …</w:t>
      </w:r>
      <w:r w:rsidR="0082046D" w:rsidRPr="00730E67">
        <w:t>……</w:t>
      </w:r>
      <w:r w:rsidR="00075112" w:rsidRPr="00730E67">
        <w:t>, einseitig zum Anschluss an das</w:t>
      </w:r>
      <w:bookmarkEnd w:id="48"/>
      <w:r w:rsidR="004F3DB9">
        <w:t xml:space="preserve"> </w:t>
      </w:r>
      <w:bookmarkStart w:id="49" w:name="_Toc1478208"/>
      <w:r w:rsidR="00075112" w:rsidRPr="00730E67">
        <w:t>Maschinensystem des Ausführenden angepasst, liefern,</w:t>
      </w:r>
      <w:bookmarkEnd w:id="49"/>
      <w:r w:rsidR="004F3DB9">
        <w:t xml:space="preserve"> </w:t>
      </w:r>
      <w:bookmarkStart w:id="50" w:name="_Toc1478209"/>
      <w:r w:rsidR="00075112" w:rsidRPr="00730E67">
        <w:t>zur Verwendungsstelle transportieren und unter</w:t>
      </w:r>
      <w:bookmarkEnd w:id="50"/>
      <w:r w:rsidR="004F3DB9">
        <w:t xml:space="preserve"> </w:t>
      </w:r>
      <w:bookmarkStart w:id="51" w:name="_Toc1478210"/>
      <w:r w:rsidR="00075112" w:rsidRPr="00730E67">
        <w:t xml:space="preserve">Beachtung der </w:t>
      </w:r>
      <w:proofErr w:type="spellStart"/>
      <w:r w:rsidR="00075112" w:rsidRPr="00730E67">
        <w:t>Verlegevorschriften</w:t>
      </w:r>
      <w:proofErr w:type="spellEnd"/>
      <w:r w:rsidR="00075112" w:rsidRPr="00730E67">
        <w:t xml:space="preserve"> des Herstellers</w:t>
      </w:r>
      <w:bookmarkEnd w:id="51"/>
      <w:r w:rsidR="004F3DB9">
        <w:t xml:space="preserve"> </w:t>
      </w:r>
      <w:bookmarkStart w:id="52" w:name="_Toc1478211"/>
      <w:r w:rsidR="00075112" w:rsidRPr="00730E67">
        <w:t>ordnungsgemäß im Vortrieb einbauen.</w:t>
      </w:r>
      <w:bookmarkEnd w:id="52"/>
    </w:p>
    <w:p w14:paraId="35ED9DCB" w14:textId="77777777" w:rsidR="004F3DB9" w:rsidRPr="00730E67" w:rsidRDefault="004F3DB9" w:rsidP="00730E67"/>
    <w:p w14:paraId="66950977" w14:textId="77777777" w:rsidR="00075112" w:rsidRPr="00730E67" w:rsidRDefault="00075112" w:rsidP="00730E67">
      <w:bookmarkStart w:id="53" w:name="_Toc1478212"/>
      <w:r w:rsidRPr="00730E67">
        <w:t>Außendurchmesser: DA..............</w:t>
      </w:r>
      <w:bookmarkEnd w:id="53"/>
    </w:p>
    <w:p w14:paraId="7E98FDCF" w14:textId="594FDA0D" w:rsidR="00075112" w:rsidRPr="00730E67" w:rsidRDefault="00075112" w:rsidP="00730E67">
      <w:bookmarkStart w:id="54" w:name="_Toc1478213"/>
      <w:proofErr w:type="spellStart"/>
      <w:r w:rsidRPr="00730E67">
        <w:t>Baulänge</w:t>
      </w:r>
      <w:proofErr w:type="spellEnd"/>
      <w:r w:rsidRPr="00730E67">
        <w:t xml:space="preserve"> </w:t>
      </w:r>
      <w:r w:rsidR="00760DEA">
        <w:t xml:space="preserve">in </w:t>
      </w:r>
      <w:r w:rsidRPr="00730E67">
        <w:t>m......................</w:t>
      </w:r>
      <w:bookmarkEnd w:id="54"/>
    </w:p>
    <w:p w14:paraId="3569F4EF" w14:textId="77777777" w:rsidR="00075112" w:rsidRPr="00730E67" w:rsidRDefault="00075112" w:rsidP="00730E67"/>
    <w:p w14:paraId="4E4DD766" w14:textId="185EDEB3" w:rsidR="00075112" w:rsidRPr="006C7C5F" w:rsidRDefault="00075112" w:rsidP="006C7C5F">
      <w:pPr>
        <w:pStyle w:val="berschrift1"/>
        <w:numPr>
          <w:ilvl w:val="0"/>
          <w:numId w:val="36"/>
        </w:numPr>
        <w:ind w:left="567" w:hanging="567"/>
        <w:rPr>
          <w:rFonts w:ascii="Arial" w:hAnsi="Arial" w:cs="Arial"/>
          <w:b w:val="0"/>
        </w:rPr>
      </w:pPr>
      <w:bookmarkStart w:id="55" w:name="_Toc1486916"/>
      <w:r w:rsidRPr="006C7C5F">
        <w:rPr>
          <w:rFonts w:ascii="Arial" w:hAnsi="Arial" w:cs="Arial"/>
          <w:b w:val="0"/>
        </w:rPr>
        <w:t>Zwischenpreßstationsvorlaufrohr</w:t>
      </w:r>
      <w:bookmarkEnd w:id="55"/>
    </w:p>
    <w:p w14:paraId="0A923007" w14:textId="77777777" w:rsidR="00730E67" w:rsidRPr="00730E67" w:rsidRDefault="00730E67" w:rsidP="00730E67">
      <w:pPr>
        <w:rPr>
          <w:u w:val="single"/>
        </w:rPr>
      </w:pPr>
    </w:p>
    <w:p w14:paraId="607C5BD0" w14:textId="3E2F2EB6" w:rsidR="00075112" w:rsidRDefault="007358B7" w:rsidP="00730E67">
      <w:bookmarkStart w:id="56" w:name="_Toc1478215"/>
      <w:r w:rsidRPr="00730E67">
        <w:t>Vortriebsrohre aus glasfaserverstärktem Polyesterharz (UP-GF) gemäß DIN EN 14364 und ISO 25780, mit einem Wandaufbau gemäß/analog DIN 16868 oder 16869</w:t>
      </w:r>
      <w:r w:rsidR="00075112" w:rsidRPr="00730E67">
        <w:t>, passend zum Rohrsystem der</w:t>
      </w:r>
      <w:bookmarkEnd w:id="56"/>
      <w:r w:rsidR="004F3DB9">
        <w:t xml:space="preserve"> </w:t>
      </w:r>
      <w:bookmarkStart w:id="57" w:name="_Toc1478216"/>
      <w:r w:rsidR="00075112" w:rsidRPr="00730E67">
        <w:t>Pos. …</w:t>
      </w:r>
      <w:r w:rsidR="0082046D" w:rsidRPr="00730E67">
        <w:t>……</w:t>
      </w:r>
      <w:r w:rsidR="00075112" w:rsidRPr="00730E67">
        <w:t>, einseitig zum Anschluss an die verwendete</w:t>
      </w:r>
      <w:bookmarkStart w:id="58" w:name="_Toc1478217"/>
      <w:bookmarkEnd w:id="57"/>
      <w:r w:rsidR="004F3DB9">
        <w:t xml:space="preserve"> </w:t>
      </w:r>
      <w:r w:rsidR="00075112" w:rsidRPr="00730E67">
        <w:t>Zwischenpressstation angepasst, liefern,</w:t>
      </w:r>
      <w:bookmarkEnd w:id="58"/>
      <w:r w:rsidR="004F3DB9">
        <w:t xml:space="preserve"> </w:t>
      </w:r>
      <w:bookmarkStart w:id="59" w:name="_Toc1478218"/>
      <w:r w:rsidR="00075112" w:rsidRPr="00730E67">
        <w:t>zur Verwendungsstelle transportieren und unter</w:t>
      </w:r>
      <w:bookmarkEnd w:id="59"/>
      <w:r w:rsidR="004F3DB9">
        <w:t xml:space="preserve"> </w:t>
      </w:r>
      <w:bookmarkStart w:id="60" w:name="_Toc1478219"/>
      <w:r w:rsidR="00075112" w:rsidRPr="00730E67">
        <w:t xml:space="preserve">Beachtung der </w:t>
      </w:r>
      <w:proofErr w:type="spellStart"/>
      <w:r w:rsidR="00075112" w:rsidRPr="00730E67">
        <w:t>Verlegevorschriften</w:t>
      </w:r>
      <w:proofErr w:type="spellEnd"/>
      <w:r w:rsidR="00075112" w:rsidRPr="00730E67">
        <w:t xml:space="preserve"> des Herstellers</w:t>
      </w:r>
      <w:bookmarkEnd w:id="60"/>
      <w:r w:rsidR="004F3DB9">
        <w:t xml:space="preserve"> </w:t>
      </w:r>
      <w:bookmarkStart w:id="61" w:name="_Toc1478220"/>
      <w:r w:rsidR="00075112" w:rsidRPr="00730E67">
        <w:t>ordnungsgemäß im Vortrieb einbauen.</w:t>
      </w:r>
      <w:bookmarkEnd w:id="61"/>
    </w:p>
    <w:p w14:paraId="7D1918DF" w14:textId="77777777" w:rsidR="004F3DB9" w:rsidRPr="00730E67" w:rsidRDefault="004F3DB9" w:rsidP="00730E67"/>
    <w:p w14:paraId="1DDB2B8F" w14:textId="77777777" w:rsidR="00075112" w:rsidRPr="00730E67" w:rsidRDefault="00075112" w:rsidP="00730E67">
      <w:bookmarkStart w:id="62" w:name="_Toc1478221"/>
      <w:r w:rsidRPr="00730E67">
        <w:t>Außendurchmesser: DA..............</w:t>
      </w:r>
      <w:bookmarkEnd w:id="62"/>
    </w:p>
    <w:p w14:paraId="7C22BD20" w14:textId="75149B5E" w:rsidR="00075112" w:rsidRPr="00730E67" w:rsidRDefault="00075112" w:rsidP="00730E67">
      <w:bookmarkStart w:id="63" w:name="_Toc1478222"/>
      <w:proofErr w:type="spellStart"/>
      <w:r w:rsidRPr="00730E67">
        <w:t>Baulänge</w:t>
      </w:r>
      <w:proofErr w:type="spellEnd"/>
      <w:r w:rsidRPr="00730E67">
        <w:t xml:space="preserve"> </w:t>
      </w:r>
      <w:r w:rsidR="00760DEA">
        <w:t xml:space="preserve">in </w:t>
      </w:r>
      <w:r w:rsidRPr="00730E67">
        <w:t>m......................</w:t>
      </w:r>
      <w:bookmarkEnd w:id="63"/>
    </w:p>
    <w:p w14:paraId="69452E5C" w14:textId="77777777" w:rsidR="00075112" w:rsidRPr="00730E67" w:rsidRDefault="00075112" w:rsidP="00730E67"/>
    <w:p w14:paraId="5BBE6CF5" w14:textId="5F6A4AC1" w:rsidR="00075112" w:rsidRPr="006C7C5F" w:rsidRDefault="00075112" w:rsidP="006C7C5F">
      <w:pPr>
        <w:pStyle w:val="berschrift1"/>
        <w:numPr>
          <w:ilvl w:val="0"/>
          <w:numId w:val="36"/>
        </w:numPr>
        <w:ind w:left="567" w:hanging="567"/>
        <w:rPr>
          <w:rFonts w:ascii="Arial" w:hAnsi="Arial" w:cs="Arial"/>
          <w:b w:val="0"/>
        </w:rPr>
      </w:pPr>
      <w:bookmarkStart w:id="64" w:name="_Toc1486917"/>
      <w:r w:rsidRPr="006C7C5F">
        <w:rPr>
          <w:rFonts w:ascii="Arial" w:hAnsi="Arial" w:cs="Arial"/>
          <w:b w:val="0"/>
        </w:rPr>
        <w:t>Zwischenpreßstationsnachlaufrohr</w:t>
      </w:r>
      <w:bookmarkEnd w:id="64"/>
    </w:p>
    <w:p w14:paraId="0BC2C806" w14:textId="77777777" w:rsidR="00730E67" w:rsidRPr="00730E67" w:rsidRDefault="00730E67" w:rsidP="00730E67">
      <w:pPr>
        <w:rPr>
          <w:u w:val="single"/>
        </w:rPr>
      </w:pPr>
    </w:p>
    <w:p w14:paraId="632A2DDE" w14:textId="02D378A0" w:rsidR="00075112" w:rsidRDefault="007358B7" w:rsidP="00730E67">
      <w:bookmarkStart w:id="65" w:name="_Toc1478224"/>
      <w:r w:rsidRPr="00730E67">
        <w:t>Vortriebsrohre aus glasfaserverstärktem Polyesterharz (UP-GF) gemäß DIN EN 14364 und ISO 25780, mit einem Wandaufbau gemäß/analog DIN 16868 oder 16869</w:t>
      </w:r>
      <w:r w:rsidR="00075112" w:rsidRPr="00730E67">
        <w:t>, passend zum Rohrsystem der</w:t>
      </w:r>
      <w:bookmarkEnd w:id="65"/>
      <w:r w:rsidR="004F3DB9">
        <w:t xml:space="preserve"> </w:t>
      </w:r>
      <w:bookmarkStart w:id="66" w:name="_Toc1478225"/>
      <w:r w:rsidR="00075112" w:rsidRPr="00730E67">
        <w:t>Pos. …</w:t>
      </w:r>
      <w:r w:rsidR="0082046D" w:rsidRPr="00730E67">
        <w:t>……</w:t>
      </w:r>
      <w:r w:rsidR="00075112" w:rsidRPr="00730E67">
        <w:t>, einseitig zum Anschluss an die verwendete</w:t>
      </w:r>
      <w:bookmarkEnd w:id="66"/>
      <w:r w:rsidR="004F3DB9">
        <w:t xml:space="preserve"> </w:t>
      </w:r>
      <w:bookmarkStart w:id="67" w:name="_Toc1478226"/>
      <w:r w:rsidR="00075112" w:rsidRPr="00730E67">
        <w:t>Zwischenpressstation angepasst, liefern,</w:t>
      </w:r>
      <w:bookmarkEnd w:id="67"/>
      <w:r w:rsidR="004F3DB9">
        <w:t xml:space="preserve"> </w:t>
      </w:r>
      <w:bookmarkStart w:id="68" w:name="_Toc1478227"/>
      <w:r w:rsidR="00075112" w:rsidRPr="00730E67">
        <w:t>zur Verwendungsstelle transportieren und unter</w:t>
      </w:r>
      <w:bookmarkEnd w:id="68"/>
      <w:r w:rsidR="004F3DB9">
        <w:t xml:space="preserve"> </w:t>
      </w:r>
      <w:bookmarkStart w:id="69" w:name="_Toc1478228"/>
      <w:r w:rsidR="00075112" w:rsidRPr="00730E67">
        <w:t xml:space="preserve">Beachtung der </w:t>
      </w:r>
      <w:proofErr w:type="spellStart"/>
      <w:r w:rsidR="00075112" w:rsidRPr="00730E67">
        <w:t>Verlegevorschriften</w:t>
      </w:r>
      <w:proofErr w:type="spellEnd"/>
      <w:r w:rsidR="00075112" w:rsidRPr="00730E67">
        <w:t xml:space="preserve"> des Herstellers</w:t>
      </w:r>
      <w:bookmarkEnd w:id="69"/>
      <w:r w:rsidR="004F3DB9">
        <w:t xml:space="preserve"> </w:t>
      </w:r>
      <w:bookmarkStart w:id="70" w:name="_Toc1478229"/>
      <w:r w:rsidR="00075112" w:rsidRPr="00730E67">
        <w:t>ordnungsgemäß im Vortrieb einbauen.</w:t>
      </w:r>
      <w:bookmarkEnd w:id="70"/>
    </w:p>
    <w:p w14:paraId="05C741C9" w14:textId="77777777" w:rsidR="004F3DB9" w:rsidRPr="00730E67" w:rsidRDefault="004F3DB9" w:rsidP="00730E67">
      <w:pPr>
        <w:rPr>
          <w:b/>
        </w:rPr>
      </w:pPr>
    </w:p>
    <w:p w14:paraId="642E8918" w14:textId="77777777" w:rsidR="00075112" w:rsidRPr="00730E67" w:rsidRDefault="00075112" w:rsidP="00730E67">
      <w:bookmarkStart w:id="71" w:name="_Toc1478230"/>
      <w:r w:rsidRPr="00730E67">
        <w:t>Außendurchmesser: DA..............</w:t>
      </w:r>
      <w:bookmarkEnd w:id="71"/>
    </w:p>
    <w:p w14:paraId="684E49B0" w14:textId="02EB9AAF" w:rsidR="00075112" w:rsidRPr="00730E67" w:rsidRDefault="00075112" w:rsidP="00730E67">
      <w:bookmarkStart w:id="72" w:name="_Toc1478231"/>
      <w:proofErr w:type="spellStart"/>
      <w:r w:rsidRPr="00730E67">
        <w:t>Baulänge</w:t>
      </w:r>
      <w:proofErr w:type="spellEnd"/>
      <w:r w:rsidRPr="00730E67">
        <w:t xml:space="preserve"> </w:t>
      </w:r>
      <w:r w:rsidR="00760DEA">
        <w:t xml:space="preserve">in </w:t>
      </w:r>
      <w:r w:rsidRPr="00730E67">
        <w:t>m......................</w:t>
      </w:r>
      <w:bookmarkEnd w:id="72"/>
    </w:p>
    <w:p w14:paraId="787040A4" w14:textId="056CCC97" w:rsidR="00075112" w:rsidRPr="00730E67" w:rsidRDefault="00075112" w:rsidP="00730E67"/>
    <w:p w14:paraId="39F17DD2" w14:textId="77777777" w:rsidR="00075112" w:rsidRPr="00730E67" w:rsidRDefault="00075112" w:rsidP="00730E67"/>
    <w:p w14:paraId="1641F4EF" w14:textId="1C15E227" w:rsidR="00075112" w:rsidRPr="006C7C5F" w:rsidRDefault="00075112" w:rsidP="006C7C5F">
      <w:pPr>
        <w:pStyle w:val="berschrift1"/>
        <w:numPr>
          <w:ilvl w:val="0"/>
          <w:numId w:val="37"/>
        </w:numPr>
        <w:rPr>
          <w:rFonts w:ascii="Arial" w:hAnsi="Arial" w:cs="Arial"/>
        </w:rPr>
      </w:pPr>
      <w:bookmarkStart w:id="73" w:name="_Toc1486918"/>
      <w:r w:rsidRPr="006C7C5F">
        <w:rPr>
          <w:rFonts w:ascii="Arial" w:hAnsi="Arial" w:cs="Arial"/>
        </w:rPr>
        <w:t>Zubehör</w:t>
      </w:r>
      <w:bookmarkEnd w:id="73"/>
    </w:p>
    <w:p w14:paraId="0E91B1EF" w14:textId="77777777" w:rsidR="00730E67" w:rsidRPr="00730E67" w:rsidRDefault="00730E67" w:rsidP="00730E67">
      <w:pPr>
        <w:pStyle w:val="Listenabsatz"/>
        <w:ind w:left="360"/>
        <w:rPr>
          <w:b/>
        </w:rPr>
      </w:pPr>
    </w:p>
    <w:p w14:paraId="7783D8B0" w14:textId="59D62563" w:rsidR="00075112" w:rsidRPr="006C7C5F" w:rsidRDefault="00075112" w:rsidP="006C7C5F">
      <w:pPr>
        <w:pStyle w:val="berschrift1"/>
        <w:numPr>
          <w:ilvl w:val="1"/>
          <w:numId w:val="38"/>
        </w:numPr>
        <w:ind w:left="567" w:hanging="567"/>
        <w:rPr>
          <w:rFonts w:ascii="Arial" w:hAnsi="Arial" w:cs="Arial"/>
          <w:b w:val="0"/>
        </w:rPr>
      </w:pPr>
      <w:bookmarkStart w:id="74" w:name="_Toc1486919"/>
      <w:r w:rsidRPr="006C7C5F">
        <w:rPr>
          <w:rFonts w:ascii="Arial" w:hAnsi="Arial" w:cs="Arial"/>
          <w:b w:val="0"/>
        </w:rPr>
        <w:t>Verpreßstutzen 1“ Edelstahl</w:t>
      </w:r>
      <w:bookmarkEnd w:id="74"/>
    </w:p>
    <w:p w14:paraId="07651F02" w14:textId="77777777" w:rsidR="00730E67" w:rsidRPr="006C7C5F" w:rsidRDefault="00730E67" w:rsidP="006C7C5F"/>
    <w:p w14:paraId="5BB330BE" w14:textId="218739B2" w:rsidR="00075112" w:rsidRPr="00730E67" w:rsidRDefault="00075112" w:rsidP="00730E67">
      <w:bookmarkStart w:id="75" w:name="_Toc1478234"/>
      <w:r w:rsidRPr="00730E67">
        <w:t xml:space="preserve">Zulage für die Lieferung von </w:t>
      </w:r>
      <w:proofErr w:type="spellStart"/>
      <w:r w:rsidRPr="00730E67">
        <w:t>Verpre</w:t>
      </w:r>
      <w:r w:rsidR="0082046D" w:rsidRPr="00730E67">
        <w:t>ß</w:t>
      </w:r>
      <w:r w:rsidRPr="00730E67">
        <w:t>stutzen</w:t>
      </w:r>
      <w:proofErr w:type="spellEnd"/>
      <w:r w:rsidRPr="00730E67">
        <w:t xml:space="preserve"> 1“ mit</w:t>
      </w:r>
      <w:bookmarkEnd w:id="75"/>
      <w:r w:rsidR="004F3DB9">
        <w:t xml:space="preserve"> </w:t>
      </w:r>
      <w:bookmarkStart w:id="76" w:name="_Toc1478235"/>
      <w:r w:rsidRPr="00730E67">
        <w:t xml:space="preserve">Rückschlagventil und </w:t>
      </w:r>
      <w:proofErr w:type="spellStart"/>
      <w:r w:rsidRPr="00730E67">
        <w:t>Verschlußstopfen</w:t>
      </w:r>
      <w:proofErr w:type="spellEnd"/>
      <w:r w:rsidRPr="00730E67">
        <w:t>, werkseitig</w:t>
      </w:r>
      <w:bookmarkEnd w:id="76"/>
      <w:r w:rsidR="004F3DB9">
        <w:t xml:space="preserve"> </w:t>
      </w:r>
      <w:bookmarkStart w:id="77" w:name="_Toc1478236"/>
      <w:r w:rsidRPr="00730E67">
        <w:t>eingebaut.</w:t>
      </w:r>
      <w:bookmarkEnd w:id="77"/>
    </w:p>
    <w:p w14:paraId="41839672" w14:textId="4004B254" w:rsidR="004D6F07" w:rsidRPr="00730E67" w:rsidRDefault="004D6F07" w:rsidP="006C7C5F">
      <w:bookmarkStart w:id="78" w:name="_GoBack"/>
      <w:bookmarkEnd w:id="78"/>
    </w:p>
    <w:sectPr w:rsidR="004D6F07" w:rsidRPr="00730E67" w:rsidSect="00C224BD">
      <w:headerReference w:type="default" r:id="rId11"/>
      <w:footerReference w:type="default" r:id="rId12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5BAC" w14:textId="77777777" w:rsidR="00476300" w:rsidRDefault="00476300" w:rsidP="006A654D">
      <w:r>
        <w:separator/>
      </w:r>
    </w:p>
  </w:endnote>
  <w:endnote w:type="continuationSeparator" w:id="0">
    <w:p w14:paraId="191511FB" w14:textId="77777777" w:rsidR="00476300" w:rsidRDefault="00476300" w:rsidP="006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48972"/>
      <w:docPartObj>
        <w:docPartGallery w:val="Page Numbers (Bottom of Page)"/>
        <w:docPartUnique/>
      </w:docPartObj>
    </w:sdtPr>
    <w:sdtEndPr/>
    <w:sdtContent>
      <w:p w14:paraId="70055521" w14:textId="52243B12" w:rsidR="00C224BD" w:rsidRPr="008A283A" w:rsidRDefault="00C224BD" w:rsidP="00350D7D">
        <w:pPr>
          <w:pStyle w:val="Kopfzeile"/>
          <w:pBdr>
            <w:top w:val="single" w:sz="6" w:space="0" w:color="auto"/>
          </w:pBdr>
          <w:rPr>
            <w:rFonts w:cs="Arial"/>
            <w:sz w:val="16"/>
            <w:szCs w:val="16"/>
          </w:rPr>
        </w:pPr>
        <w:r w:rsidRPr="008A283A">
          <w:rPr>
            <w:rFonts w:cs="Arial"/>
            <w:sz w:val="16"/>
            <w:szCs w:val="16"/>
          </w:rPr>
          <w:t xml:space="preserve">Ausschreibungstexte </w:t>
        </w:r>
        <w:r>
          <w:rPr>
            <w:rFonts w:cs="Arial"/>
            <w:sz w:val="16"/>
            <w:szCs w:val="16"/>
          </w:rPr>
          <w:t>Amiblu</w:t>
        </w:r>
        <w:r w:rsidRPr="008A283A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Rohre EN 14364</w:t>
        </w:r>
        <w:r w:rsidRPr="008A283A">
          <w:rPr>
            <w:rFonts w:cs="Arial"/>
            <w:sz w:val="16"/>
            <w:szCs w:val="16"/>
          </w:rPr>
          <w:t xml:space="preserve"> (Stand </w:t>
        </w:r>
        <w:r>
          <w:rPr>
            <w:rFonts w:cs="Arial"/>
            <w:sz w:val="16"/>
            <w:szCs w:val="16"/>
          </w:rPr>
          <w:t>09</w:t>
        </w:r>
        <w:r w:rsidRPr="008A283A">
          <w:rPr>
            <w:rFonts w:cs="Arial"/>
            <w:sz w:val="16"/>
            <w:szCs w:val="16"/>
          </w:rPr>
          <w:t>/201</w:t>
        </w:r>
        <w:r>
          <w:rPr>
            <w:rFonts w:cs="Arial"/>
            <w:sz w:val="16"/>
            <w:szCs w:val="16"/>
          </w:rPr>
          <w:t>8</w:t>
        </w:r>
        <w:r w:rsidRPr="008A283A">
          <w:rPr>
            <w:rFonts w:cs="Arial"/>
            <w:sz w:val="16"/>
            <w:szCs w:val="16"/>
          </w:rPr>
          <w:t>)</w:t>
        </w:r>
        <w:r w:rsidRPr="008A283A">
          <w:rPr>
            <w:rFonts w:cs="Arial"/>
            <w:sz w:val="16"/>
            <w:szCs w:val="16"/>
          </w:rPr>
          <w:tab/>
        </w:r>
        <w:r w:rsidRPr="008A283A">
          <w:rPr>
            <w:rFonts w:cs="Arial"/>
            <w:sz w:val="16"/>
            <w:szCs w:val="16"/>
          </w:rPr>
          <w:tab/>
          <w:t xml:space="preserve">Seite </w:t>
        </w:r>
        <w:r w:rsidRPr="008A283A">
          <w:rPr>
            <w:rStyle w:val="Seitenzahl"/>
            <w:rFonts w:cs="Arial"/>
            <w:sz w:val="16"/>
            <w:szCs w:val="16"/>
          </w:rPr>
          <w:fldChar w:fldCharType="begin"/>
        </w:r>
        <w:r w:rsidRPr="008A283A">
          <w:rPr>
            <w:rStyle w:val="Seitenzahl"/>
            <w:rFonts w:cs="Arial"/>
            <w:sz w:val="16"/>
            <w:szCs w:val="16"/>
          </w:rPr>
          <w:instrText xml:space="preserve"> PAGE </w:instrText>
        </w:r>
        <w:r w:rsidRPr="008A283A">
          <w:rPr>
            <w:rStyle w:val="Seitenzahl"/>
            <w:rFonts w:cs="Arial"/>
            <w:sz w:val="16"/>
            <w:szCs w:val="16"/>
          </w:rPr>
          <w:fldChar w:fldCharType="separate"/>
        </w:r>
        <w:r>
          <w:rPr>
            <w:rStyle w:val="Seitenzahl"/>
            <w:rFonts w:cs="Arial"/>
            <w:sz w:val="16"/>
            <w:szCs w:val="16"/>
          </w:rPr>
          <w:t>2</w:t>
        </w:r>
        <w:r w:rsidRPr="008A283A">
          <w:rPr>
            <w:rStyle w:val="Seitenzahl"/>
            <w:rFonts w:cs="Arial"/>
            <w:sz w:val="16"/>
            <w:szCs w:val="16"/>
          </w:rPr>
          <w:fldChar w:fldCharType="end"/>
        </w:r>
        <w:r w:rsidRPr="008A283A">
          <w:rPr>
            <w:rStyle w:val="Seitenzahl"/>
            <w:rFonts w:cs="Arial"/>
            <w:sz w:val="16"/>
            <w:szCs w:val="16"/>
          </w:rPr>
          <w:t>/</w:t>
        </w:r>
        <w:r w:rsidRPr="008A283A">
          <w:rPr>
            <w:rStyle w:val="Seitenzahl"/>
            <w:rFonts w:cs="Arial"/>
            <w:sz w:val="16"/>
            <w:szCs w:val="16"/>
          </w:rPr>
          <w:fldChar w:fldCharType="begin"/>
        </w:r>
        <w:r w:rsidRPr="008A283A">
          <w:rPr>
            <w:rStyle w:val="Seitenzahl"/>
            <w:rFonts w:cs="Arial"/>
            <w:sz w:val="16"/>
            <w:szCs w:val="16"/>
          </w:rPr>
          <w:instrText xml:space="preserve"> NUMPAGES </w:instrText>
        </w:r>
        <w:r w:rsidRPr="008A283A">
          <w:rPr>
            <w:rStyle w:val="Seitenzahl"/>
            <w:rFonts w:cs="Arial"/>
            <w:sz w:val="16"/>
            <w:szCs w:val="16"/>
          </w:rPr>
          <w:fldChar w:fldCharType="separate"/>
        </w:r>
        <w:r>
          <w:rPr>
            <w:rStyle w:val="Seitenzahl"/>
            <w:rFonts w:cs="Arial"/>
            <w:sz w:val="16"/>
            <w:szCs w:val="16"/>
          </w:rPr>
          <w:t>9</w:t>
        </w:r>
        <w:r w:rsidRPr="008A283A">
          <w:rPr>
            <w:rStyle w:val="Seitenzahl"/>
            <w:rFonts w:cs="Arial"/>
            <w:sz w:val="16"/>
            <w:szCs w:val="16"/>
          </w:rPr>
          <w:fldChar w:fldCharType="end"/>
        </w:r>
      </w:p>
      <w:p w14:paraId="58E6287E" w14:textId="5A8AE56E" w:rsidR="00C224BD" w:rsidRDefault="00476300" w:rsidP="00350D7D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1BFC" w14:textId="77777777" w:rsidR="00476300" w:rsidRDefault="00476300" w:rsidP="006A654D">
      <w:r>
        <w:separator/>
      </w:r>
    </w:p>
  </w:footnote>
  <w:footnote w:type="continuationSeparator" w:id="0">
    <w:p w14:paraId="35039D2C" w14:textId="77777777" w:rsidR="00476300" w:rsidRDefault="00476300" w:rsidP="006A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4758" w14:textId="77777777" w:rsidR="00C224BD" w:rsidRDefault="00C224B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BCC9C70" wp14:editId="339A3C05">
          <wp:extent cx="2125980" cy="568990"/>
          <wp:effectExtent l="0" t="0" r="762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blu_logo_R_claim_höheraufgelö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87" cy="57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8CF30" w14:textId="77777777" w:rsidR="00C224BD" w:rsidRDefault="00C22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96A"/>
    <w:multiLevelType w:val="hybridMultilevel"/>
    <w:tmpl w:val="A4A27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6EE"/>
    <w:multiLevelType w:val="multilevel"/>
    <w:tmpl w:val="0407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353A4"/>
    <w:multiLevelType w:val="multilevel"/>
    <w:tmpl w:val="9E60447A"/>
    <w:numStyleLink w:val="Formatvorlage3"/>
  </w:abstractNum>
  <w:abstractNum w:abstractNumId="3" w15:restartNumberingAfterBreak="0">
    <w:nsid w:val="1F303029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5569B9"/>
    <w:multiLevelType w:val="multilevel"/>
    <w:tmpl w:val="0407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BD27C9"/>
    <w:multiLevelType w:val="multilevel"/>
    <w:tmpl w:val="0407001F"/>
    <w:numStyleLink w:val="Formatvorlage1"/>
  </w:abstractNum>
  <w:abstractNum w:abstractNumId="6" w15:restartNumberingAfterBreak="0">
    <w:nsid w:val="26B40AC6"/>
    <w:multiLevelType w:val="multilevel"/>
    <w:tmpl w:val="9E60447A"/>
    <w:styleLink w:val="Formatvorlage3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F52A5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B5F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C05F21"/>
    <w:multiLevelType w:val="multilevel"/>
    <w:tmpl w:val="0407001F"/>
    <w:numStyleLink w:val="Formatvorlage1"/>
  </w:abstractNum>
  <w:abstractNum w:abstractNumId="10" w15:restartNumberingAfterBreak="0">
    <w:nsid w:val="2E1B005F"/>
    <w:multiLevelType w:val="multilevel"/>
    <w:tmpl w:val="0407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D47DC"/>
    <w:multiLevelType w:val="hybridMultilevel"/>
    <w:tmpl w:val="7D06CCDC"/>
    <w:lvl w:ilvl="0" w:tplc="5714F638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824"/>
    <w:multiLevelType w:val="multilevel"/>
    <w:tmpl w:val="A3208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06126C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27EA7"/>
    <w:multiLevelType w:val="hybridMultilevel"/>
    <w:tmpl w:val="DAE2BA9C"/>
    <w:lvl w:ilvl="0" w:tplc="4D9CCA0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C51A95"/>
    <w:multiLevelType w:val="multilevel"/>
    <w:tmpl w:val="0407001F"/>
    <w:numStyleLink w:val="Formatvorlage1"/>
  </w:abstractNum>
  <w:abstractNum w:abstractNumId="16" w15:restartNumberingAfterBreak="0">
    <w:nsid w:val="345C6E62"/>
    <w:multiLevelType w:val="hybridMultilevel"/>
    <w:tmpl w:val="E32E06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124D2"/>
    <w:multiLevelType w:val="multilevel"/>
    <w:tmpl w:val="0407001F"/>
    <w:numStyleLink w:val="Formatvorlage1"/>
  </w:abstractNum>
  <w:abstractNum w:abstractNumId="18" w15:restartNumberingAfterBreak="0">
    <w:nsid w:val="3A981EC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C1DD8"/>
    <w:multiLevelType w:val="hybridMultilevel"/>
    <w:tmpl w:val="340285C0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5C14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4637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0D79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8251C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9DD3AE1"/>
    <w:multiLevelType w:val="multilevel"/>
    <w:tmpl w:val="31B8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275F9A"/>
    <w:multiLevelType w:val="hybridMultilevel"/>
    <w:tmpl w:val="B1B29E42"/>
    <w:lvl w:ilvl="0" w:tplc="8E92F81A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49E"/>
    <w:multiLevelType w:val="hybridMultilevel"/>
    <w:tmpl w:val="2F5E8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A759C"/>
    <w:multiLevelType w:val="multilevel"/>
    <w:tmpl w:val="0407001F"/>
    <w:numStyleLink w:val="Formatvorlage1"/>
  </w:abstractNum>
  <w:abstractNum w:abstractNumId="28" w15:restartNumberingAfterBreak="0">
    <w:nsid w:val="735714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053444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355A76"/>
    <w:multiLevelType w:val="multilevel"/>
    <w:tmpl w:val="0407001F"/>
    <w:numStyleLink w:val="Formatvorlage1"/>
  </w:abstractNum>
  <w:abstractNum w:abstractNumId="31" w15:restartNumberingAfterBreak="0">
    <w:nsid w:val="75690D07"/>
    <w:multiLevelType w:val="hybridMultilevel"/>
    <w:tmpl w:val="F75E5862"/>
    <w:lvl w:ilvl="0" w:tplc="4BC08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17DA9"/>
    <w:multiLevelType w:val="multilevel"/>
    <w:tmpl w:val="04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780B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3F4B41"/>
    <w:multiLevelType w:val="multilevel"/>
    <w:tmpl w:val="0CC6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73033E"/>
    <w:multiLevelType w:val="multilevel"/>
    <w:tmpl w:val="7066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BD7544"/>
    <w:multiLevelType w:val="hybridMultilevel"/>
    <w:tmpl w:val="2BA6C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63185"/>
    <w:multiLevelType w:val="multilevel"/>
    <w:tmpl w:val="0407001F"/>
    <w:numStyleLink w:val="Formatvorlage1"/>
  </w:abstractNum>
  <w:num w:numId="1">
    <w:abstractNumId w:val="25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9"/>
  </w:num>
  <w:num w:numId="7">
    <w:abstractNumId w:val="33"/>
  </w:num>
  <w:num w:numId="8">
    <w:abstractNumId w:val="24"/>
  </w:num>
  <w:num w:numId="9">
    <w:abstractNumId w:val="3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2"/>
          <w:szCs w:val="22"/>
        </w:rPr>
      </w:lvl>
    </w:lvlOverride>
  </w:num>
  <w:num w:numId="10">
    <w:abstractNumId w:val="32"/>
  </w:num>
  <w:num w:numId="11">
    <w:abstractNumId w:val="8"/>
  </w:num>
  <w:num w:numId="12">
    <w:abstractNumId w:val="31"/>
  </w:num>
  <w:num w:numId="13">
    <w:abstractNumId w:val="3"/>
  </w:num>
  <w:num w:numId="14">
    <w:abstractNumId w:val="22"/>
  </w:num>
  <w:num w:numId="15">
    <w:abstractNumId w:val="6"/>
  </w:num>
  <w:num w:numId="16">
    <w:abstractNumId w:val="35"/>
  </w:num>
  <w:num w:numId="17">
    <w:abstractNumId w:val="26"/>
  </w:num>
  <w:num w:numId="18">
    <w:abstractNumId w:val="36"/>
  </w:num>
  <w:num w:numId="19">
    <w:abstractNumId w:val="23"/>
  </w:num>
  <w:num w:numId="20">
    <w:abstractNumId w:val="18"/>
  </w:num>
  <w:num w:numId="21">
    <w:abstractNumId w:val="28"/>
  </w:num>
  <w:num w:numId="22">
    <w:abstractNumId w:val="21"/>
  </w:num>
  <w:num w:numId="23">
    <w:abstractNumId w:val="12"/>
  </w:num>
  <w:num w:numId="24">
    <w:abstractNumId w:val="37"/>
  </w:num>
  <w:num w:numId="25">
    <w:abstractNumId w:val="1"/>
  </w:num>
  <w:num w:numId="26">
    <w:abstractNumId w:val="27"/>
  </w:num>
  <w:num w:numId="27">
    <w:abstractNumId w:val="10"/>
  </w:num>
  <w:num w:numId="28">
    <w:abstractNumId w:val="9"/>
  </w:num>
  <w:num w:numId="29">
    <w:abstractNumId w:val="15"/>
  </w:num>
  <w:num w:numId="30">
    <w:abstractNumId w:val="4"/>
  </w:num>
  <w:num w:numId="31">
    <w:abstractNumId w:val="17"/>
  </w:num>
  <w:num w:numId="32">
    <w:abstractNumId w:val="5"/>
  </w:num>
  <w:num w:numId="33">
    <w:abstractNumId w:val="29"/>
  </w:num>
  <w:num w:numId="34">
    <w:abstractNumId w:val="7"/>
  </w:num>
  <w:num w:numId="35">
    <w:abstractNumId w:val="20"/>
  </w:num>
  <w:num w:numId="36">
    <w:abstractNumId w:val="2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D"/>
    <w:rsid w:val="0000206F"/>
    <w:rsid w:val="00011B74"/>
    <w:rsid w:val="000535F2"/>
    <w:rsid w:val="00075112"/>
    <w:rsid w:val="000B40AF"/>
    <w:rsid w:val="000C17C7"/>
    <w:rsid w:val="000D2CE0"/>
    <w:rsid w:val="001079DF"/>
    <w:rsid w:val="00132DEB"/>
    <w:rsid w:val="001439F0"/>
    <w:rsid w:val="00145B52"/>
    <w:rsid w:val="001466B8"/>
    <w:rsid w:val="00150919"/>
    <w:rsid w:val="001528F5"/>
    <w:rsid w:val="00194C2C"/>
    <w:rsid w:val="00215001"/>
    <w:rsid w:val="00222056"/>
    <w:rsid w:val="00222529"/>
    <w:rsid w:val="00222993"/>
    <w:rsid w:val="00243B2F"/>
    <w:rsid w:val="00244C10"/>
    <w:rsid w:val="00292527"/>
    <w:rsid w:val="002A70F8"/>
    <w:rsid w:val="002B1740"/>
    <w:rsid w:val="00306F30"/>
    <w:rsid w:val="0034494A"/>
    <w:rsid w:val="00350D7D"/>
    <w:rsid w:val="00357CA3"/>
    <w:rsid w:val="00363AA8"/>
    <w:rsid w:val="003800D0"/>
    <w:rsid w:val="003A4A00"/>
    <w:rsid w:val="003B3A79"/>
    <w:rsid w:val="003C3606"/>
    <w:rsid w:val="003C54F1"/>
    <w:rsid w:val="003D09DC"/>
    <w:rsid w:val="003D4B9F"/>
    <w:rsid w:val="00443547"/>
    <w:rsid w:val="0047296D"/>
    <w:rsid w:val="00476300"/>
    <w:rsid w:val="004C7D33"/>
    <w:rsid w:val="004D6F07"/>
    <w:rsid w:val="004E1E95"/>
    <w:rsid w:val="004E3FFC"/>
    <w:rsid w:val="004F3DB9"/>
    <w:rsid w:val="004F683A"/>
    <w:rsid w:val="005106EB"/>
    <w:rsid w:val="00517032"/>
    <w:rsid w:val="005203C3"/>
    <w:rsid w:val="00533E9E"/>
    <w:rsid w:val="005444A1"/>
    <w:rsid w:val="00554D4A"/>
    <w:rsid w:val="005604C6"/>
    <w:rsid w:val="005A2D21"/>
    <w:rsid w:val="005A3CAA"/>
    <w:rsid w:val="005A784E"/>
    <w:rsid w:val="005B4772"/>
    <w:rsid w:val="005B79F8"/>
    <w:rsid w:val="005C57C0"/>
    <w:rsid w:val="005C57EE"/>
    <w:rsid w:val="005D7911"/>
    <w:rsid w:val="005E1507"/>
    <w:rsid w:val="00620DF2"/>
    <w:rsid w:val="00631076"/>
    <w:rsid w:val="006519A3"/>
    <w:rsid w:val="0067424B"/>
    <w:rsid w:val="00680F3A"/>
    <w:rsid w:val="006A654D"/>
    <w:rsid w:val="006B271C"/>
    <w:rsid w:val="006C7C5F"/>
    <w:rsid w:val="006D3E8B"/>
    <w:rsid w:val="00720862"/>
    <w:rsid w:val="00730E67"/>
    <w:rsid w:val="007318F4"/>
    <w:rsid w:val="00735588"/>
    <w:rsid w:val="007358B7"/>
    <w:rsid w:val="00760DEA"/>
    <w:rsid w:val="00795C5F"/>
    <w:rsid w:val="0082046D"/>
    <w:rsid w:val="00830B6A"/>
    <w:rsid w:val="00865DC6"/>
    <w:rsid w:val="008A048B"/>
    <w:rsid w:val="008A50C4"/>
    <w:rsid w:val="008C414B"/>
    <w:rsid w:val="00932A3A"/>
    <w:rsid w:val="00957F50"/>
    <w:rsid w:val="00971D3E"/>
    <w:rsid w:val="009911DA"/>
    <w:rsid w:val="009A0F5C"/>
    <w:rsid w:val="009E1502"/>
    <w:rsid w:val="009E3DD1"/>
    <w:rsid w:val="009E6C8D"/>
    <w:rsid w:val="00A16E07"/>
    <w:rsid w:val="00A87F6E"/>
    <w:rsid w:val="00AB58C5"/>
    <w:rsid w:val="00AD7845"/>
    <w:rsid w:val="00AD7E7C"/>
    <w:rsid w:val="00AE2CB5"/>
    <w:rsid w:val="00AF3A00"/>
    <w:rsid w:val="00B05812"/>
    <w:rsid w:val="00B423D6"/>
    <w:rsid w:val="00B43EAB"/>
    <w:rsid w:val="00B60C13"/>
    <w:rsid w:val="00B666AA"/>
    <w:rsid w:val="00B73DD5"/>
    <w:rsid w:val="00BD2BDE"/>
    <w:rsid w:val="00BD6515"/>
    <w:rsid w:val="00C22248"/>
    <w:rsid w:val="00C224BD"/>
    <w:rsid w:val="00C4042B"/>
    <w:rsid w:val="00C43738"/>
    <w:rsid w:val="00C722CD"/>
    <w:rsid w:val="00CA5471"/>
    <w:rsid w:val="00CB1767"/>
    <w:rsid w:val="00CC191B"/>
    <w:rsid w:val="00CC4472"/>
    <w:rsid w:val="00CC5276"/>
    <w:rsid w:val="00CC70AB"/>
    <w:rsid w:val="00CD67EF"/>
    <w:rsid w:val="00CE0A36"/>
    <w:rsid w:val="00CE7536"/>
    <w:rsid w:val="00D473A1"/>
    <w:rsid w:val="00D56F32"/>
    <w:rsid w:val="00D61989"/>
    <w:rsid w:val="00D735C0"/>
    <w:rsid w:val="00D77123"/>
    <w:rsid w:val="00D974D3"/>
    <w:rsid w:val="00D97D97"/>
    <w:rsid w:val="00DF6460"/>
    <w:rsid w:val="00E31BD6"/>
    <w:rsid w:val="00E37BA1"/>
    <w:rsid w:val="00E402E4"/>
    <w:rsid w:val="00E6003E"/>
    <w:rsid w:val="00EC6EDD"/>
    <w:rsid w:val="00EE1959"/>
    <w:rsid w:val="00EE6FBB"/>
    <w:rsid w:val="00F15AD2"/>
    <w:rsid w:val="00F43B96"/>
    <w:rsid w:val="00F752B8"/>
    <w:rsid w:val="00F834CF"/>
    <w:rsid w:val="00F83596"/>
    <w:rsid w:val="00F87166"/>
    <w:rsid w:val="00FB2E7E"/>
    <w:rsid w:val="00FE581B"/>
    <w:rsid w:val="00FF19EF"/>
    <w:rsid w:val="00FF6144"/>
    <w:rsid w:val="015DE5B9"/>
    <w:rsid w:val="01A7086F"/>
    <w:rsid w:val="0253F730"/>
    <w:rsid w:val="03B2BE98"/>
    <w:rsid w:val="051761F3"/>
    <w:rsid w:val="05AF772B"/>
    <w:rsid w:val="06EF0490"/>
    <w:rsid w:val="06F179FE"/>
    <w:rsid w:val="07158AB9"/>
    <w:rsid w:val="073E510B"/>
    <w:rsid w:val="0855CBC7"/>
    <w:rsid w:val="08E14046"/>
    <w:rsid w:val="0A6351CD"/>
    <w:rsid w:val="0ABAEC93"/>
    <w:rsid w:val="0B40C893"/>
    <w:rsid w:val="0BAB7F55"/>
    <w:rsid w:val="0C7A2ABD"/>
    <w:rsid w:val="0D9EEDA3"/>
    <w:rsid w:val="0DB4F5A9"/>
    <w:rsid w:val="0EB4B2A5"/>
    <w:rsid w:val="1356723F"/>
    <w:rsid w:val="13D9A3A2"/>
    <w:rsid w:val="16125DAC"/>
    <w:rsid w:val="1657061F"/>
    <w:rsid w:val="18AD675E"/>
    <w:rsid w:val="193274F8"/>
    <w:rsid w:val="1A17A03B"/>
    <w:rsid w:val="1A1F150A"/>
    <w:rsid w:val="1B964763"/>
    <w:rsid w:val="1BDE8296"/>
    <w:rsid w:val="1CD1A1FA"/>
    <w:rsid w:val="1CE84308"/>
    <w:rsid w:val="1D5D996F"/>
    <w:rsid w:val="1D60B130"/>
    <w:rsid w:val="2068A5CC"/>
    <w:rsid w:val="2148368E"/>
    <w:rsid w:val="22BA8CAC"/>
    <w:rsid w:val="230EC178"/>
    <w:rsid w:val="23123361"/>
    <w:rsid w:val="238D107C"/>
    <w:rsid w:val="25A13979"/>
    <w:rsid w:val="29ED41DC"/>
    <w:rsid w:val="2A1A44BC"/>
    <w:rsid w:val="2E071C3E"/>
    <w:rsid w:val="2E431EAD"/>
    <w:rsid w:val="2E6D1D0B"/>
    <w:rsid w:val="2F656DE4"/>
    <w:rsid w:val="30918493"/>
    <w:rsid w:val="31C10516"/>
    <w:rsid w:val="327A1E26"/>
    <w:rsid w:val="33F40CCE"/>
    <w:rsid w:val="347A3813"/>
    <w:rsid w:val="35670585"/>
    <w:rsid w:val="3599DD65"/>
    <w:rsid w:val="35A8BDB5"/>
    <w:rsid w:val="35D5BAF7"/>
    <w:rsid w:val="36C5583F"/>
    <w:rsid w:val="38502256"/>
    <w:rsid w:val="38C8AC85"/>
    <w:rsid w:val="39792112"/>
    <w:rsid w:val="3A11A307"/>
    <w:rsid w:val="3A5BCBB0"/>
    <w:rsid w:val="3A885B56"/>
    <w:rsid w:val="3B7241BA"/>
    <w:rsid w:val="3C089DF8"/>
    <w:rsid w:val="3C863FF8"/>
    <w:rsid w:val="3CA88A78"/>
    <w:rsid w:val="3D942061"/>
    <w:rsid w:val="3FAE7D02"/>
    <w:rsid w:val="405BB7CD"/>
    <w:rsid w:val="422C358A"/>
    <w:rsid w:val="42BAC802"/>
    <w:rsid w:val="43E1316A"/>
    <w:rsid w:val="45D6DC4F"/>
    <w:rsid w:val="464EB023"/>
    <w:rsid w:val="46810E0E"/>
    <w:rsid w:val="49175F5C"/>
    <w:rsid w:val="49F617FF"/>
    <w:rsid w:val="4A85F122"/>
    <w:rsid w:val="4C235F85"/>
    <w:rsid w:val="4DB36CCB"/>
    <w:rsid w:val="4F20C5BC"/>
    <w:rsid w:val="506B1AFF"/>
    <w:rsid w:val="50D9E008"/>
    <w:rsid w:val="5145E80A"/>
    <w:rsid w:val="5281F8EE"/>
    <w:rsid w:val="52933920"/>
    <w:rsid w:val="533075DA"/>
    <w:rsid w:val="54A25EB8"/>
    <w:rsid w:val="552039C1"/>
    <w:rsid w:val="5538B3DC"/>
    <w:rsid w:val="55D4F973"/>
    <w:rsid w:val="56378450"/>
    <w:rsid w:val="56542AAA"/>
    <w:rsid w:val="56FB0917"/>
    <w:rsid w:val="573F9AA7"/>
    <w:rsid w:val="57564EE5"/>
    <w:rsid w:val="5801B047"/>
    <w:rsid w:val="5868056E"/>
    <w:rsid w:val="59478465"/>
    <w:rsid w:val="59DCFAAF"/>
    <w:rsid w:val="5AECA2E8"/>
    <w:rsid w:val="5C20EE66"/>
    <w:rsid w:val="5C21DE9E"/>
    <w:rsid w:val="5EA9EAA5"/>
    <w:rsid w:val="5FA392D4"/>
    <w:rsid w:val="605095D2"/>
    <w:rsid w:val="61B5B19E"/>
    <w:rsid w:val="6257B5E6"/>
    <w:rsid w:val="63D5AFC4"/>
    <w:rsid w:val="6425B073"/>
    <w:rsid w:val="650AA8A2"/>
    <w:rsid w:val="67D93305"/>
    <w:rsid w:val="6971EDA7"/>
    <w:rsid w:val="69C97122"/>
    <w:rsid w:val="69E11EB4"/>
    <w:rsid w:val="6A848398"/>
    <w:rsid w:val="6AAEC025"/>
    <w:rsid w:val="6ADCC774"/>
    <w:rsid w:val="6C46B798"/>
    <w:rsid w:val="6D3E293E"/>
    <w:rsid w:val="6E67A4E7"/>
    <w:rsid w:val="6EA70611"/>
    <w:rsid w:val="6F4A1DAF"/>
    <w:rsid w:val="6FC80085"/>
    <w:rsid w:val="7014350A"/>
    <w:rsid w:val="7035536A"/>
    <w:rsid w:val="70DB8028"/>
    <w:rsid w:val="70E694DC"/>
    <w:rsid w:val="71BBB5B4"/>
    <w:rsid w:val="729E3BB5"/>
    <w:rsid w:val="758B145C"/>
    <w:rsid w:val="766E0E15"/>
    <w:rsid w:val="76F8E1A4"/>
    <w:rsid w:val="77E7CD2C"/>
    <w:rsid w:val="78331F11"/>
    <w:rsid w:val="78427E0D"/>
    <w:rsid w:val="79B2869A"/>
    <w:rsid w:val="7A08EC51"/>
    <w:rsid w:val="7BABB6F2"/>
    <w:rsid w:val="7BFFFE93"/>
    <w:rsid w:val="7C57D221"/>
    <w:rsid w:val="7DE587BF"/>
    <w:rsid w:val="7F1A30E3"/>
    <w:rsid w:val="7F7E9C70"/>
    <w:rsid w:val="7F9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EB4E1"/>
  <w15:chartTrackingRefBased/>
  <w15:docId w15:val="{70E51AAE-6C62-4C41-BF7A-19F18BE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5C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1502"/>
    <w:pPr>
      <w:keepNext/>
      <w:widowControl w:val="0"/>
      <w:tabs>
        <w:tab w:val="left" w:pos="567"/>
      </w:tabs>
      <w:spacing w:before="120" w:after="40"/>
      <w:outlineLvl w:val="0"/>
    </w:pPr>
    <w:rPr>
      <w:rFonts w:ascii="Times New Roman" w:hAnsi="Times New Roman"/>
      <w:b/>
      <w:kern w:val="28"/>
      <w:sz w:val="24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6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A6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54D"/>
  </w:style>
  <w:style w:type="paragraph" w:styleId="Fuzeile">
    <w:name w:val="footer"/>
    <w:basedOn w:val="Standard"/>
    <w:link w:val="FuzeileZchn"/>
    <w:uiPriority w:val="99"/>
    <w:unhideWhenUsed/>
    <w:rsid w:val="006A6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54D"/>
  </w:style>
  <w:style w:type="paragraph" w:styleId="Verzeichnis2">
    <w:name w:val="toc 2"/>
    <w:basedOn w:val="Standard"/>
    <w:next w:val="Standard"/>
    <w:autoRedefine/>
    <w:uiPriority w:val="39"/>
    <w:rsid w:val="00194C2C"/>
    <w:pPr>
      <w:tabs>
        <w:tab w:val="left" w:pos="709"/>
        <w:tab w:val="right" w:leader="dot" w:pos="9060"/>
      </w:tabs>
      <w:ind w:left="220" w:hanging="220"/>
    </w:pPr>
  </w:style>
  <w:style w:type="paragraph" w:styleId="Verzeichnis1">
    <w:name w:val="toc 1"/>
    <w:basedOn w:val="Standard"/>
    <w:next w:val="Standard"/>
    <w:autoRedefine/>
    <w:uiPriority w:val="39"/>
    <w:rsid w:val="006A654D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6A65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E1502"/>
    <w:rPr>
      <w:rFonts w:ascii="Times New Roman" w:eastAsia="Times New Roman" w:hAnsi="Times New Roman" w:cs="Times New Roman"/>
      <w:b/>
      <w:kern w:val="28"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DF6460"/>
    <w:pPr>
      <w:widowControl w:val="0"/>
      <w:tabs>
        <w:tab w:val="left" w:pos="1701"/>
      </w:tabs>
      <w:ind w:right="1416"/>
      <w:jc w:val="both"/>
    </w:pPr>
    <w:rPr>
      <w:i/>
      <w:szCs w:val="20"/>
    </w:rPr>
  </w:style>
  <w:style w:type="character" w:customStyle="1" w:styleId="TextkrperZchn">
    <w:name w:val="Textkörper Zchn"/>
    <w:basedOn w:val="Absatz-Standardschriftart"/>
    <w:link w:val="Textkrper"/>
    <w:rsid w:val="00DF6460"/>
    <w:rPr>
      <w:rFonts w:ascii="Arial" w:eastAsia="Times New Roman" w:hAnsi="Arial" w:cs="Times New Roman"/>
      <w:i/>
      <w:szCs w:val="20"/>
      <w:lang w:eastAsia="de-DE"/>
    </w:rPr>
  </w:style>
  <w:style w:type="character" w:styleId="Kommentarzeichen">
    <w:name w:val="annotation reference"/>
    <w:basedOn w:val="Absatz-Standardschriftart"/>
    <w:unhideWhenUsed/>
    <w:rsid w:val="00132D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2D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2DE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2DE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D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DE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FB2E7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6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numbering" w:customStyle="1" w:styleId="Formatvorlage1">
    <w:name w:val="Formatvorlage1"/>
    <w:uiPriority w:val="99"/>
    <w:rsid w:val="000B40AF"/>
    <w:pPr>
      <w:numPr>
        <w:numId w:val="10"/>
      </w:numPr>
    </w:pPr>
  </w:style>
  <w:style w:type="paragraph" w:customStyle="1" w:styleId="Formatvorlage2">
    <w:name w:val="Formatvorlage2"/>
    <w:basedOn w:val="Listenabsatz"/>
    <w:link w:val="Formatvorlage2Zchn"/>
    <w:qFormat/>
    <w:rsid w:val="001439F0"/>
    <w:pPr>
      <w:keepNext/>
      <w:ind w:left="709"/>
      <w:outlineLvl w:val="1"/>
    </w:pPr>
  </w:style>
  <w:style w:type="numbering" w:customStyle="1" w:styleId="Formatvorlage3">
    <w:name w:val="Formatvorlage3"/>
    <w:uiPriority w:val="99"/>
    <w:rsid w:val="0047296D"/>
    <w:pPr>
      <w:numPr>
        <w:numId w:val="15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439F0"/>
    <w:rPr>
      <w:rFonts w:ascii="Arial" w:eastAsia="Times New Roman" w:hAnsi="Arial" w:cs="Times New Roman"/>
      <w:szCs w:val="24"/>
      <w:lang w:eastAsia="de-DE"/>
    </w:rPr>
  </w:style>
  <w:style w:type="character" w:customStyle="1" w:styleId="Formatvorlage2Zchn">
    <w:name w:val="Formatvorlage2 Zchn"/>
    <w:basedOn w:val="ListenabsatzZchn"/>
    <w:link w:val="Formatvorlage2"/>
    <w:rsid w:val="001439F0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35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g5m xmlns="d07edb62-d99f-4d3c-9457-d7f35390af38">
      <UserInfo>
        <DisplayName/>
        <AccountId xsi:nil="true"/>
        <AccountType/>
      </UserInfo>
    </ig5m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2386A1341245AAC27608E86877EC" ma:contentTypeVersion="14" ma:contentTypeDescription="Create a new document." ma:contentTypeScope="" ma:versionID="d48b49dfb071945f1a977f69a048e438">
  <xsd:schema xmlns:xsd="http://www.w3.org/2001/XMLSchema" xmlns:xs="http://www.w3.org/2001/XMLSchema" xmlns:p="http://schemas.microsoft.com/office/2006/metadata/properties" xmlns:ns2="5d71d762-ddf0-457f-bfaa-af8c65415ff1" xmlns:ns3="d07edb62-d99f-4d3c-9457-d7f35390af38" xmlns:ns4="http://schemas.microsoft.com/sharepoint/v4" targetNamespace="http://schemas.microsoft.com/office/2006/metadata/properties" ma:root="true" ma:fieldsID="7c507733bd67d2de425fd07072eea73e" ns2:_="" ns3:_="" ns4:_="">
    <xsd:import namespace="5d71d762-ddf0-457f-bfaa-af8c65415ff1"/>
    <xsd:import namespace="d07edb62-d99f-4d3c-9457-d7f35390af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ig5m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762-ddf0-457f-bfaa-af8c65415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db62-d99f-4d3c-9457-d7f35390a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ig5m" ma:index="18" nillable="true" ma:displayName="Person or Group" ma:list="UserInfo" ma:internalName="ig5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68D8-CDEC-43E8-8E3C-07310735C3D2}">
  <ds:schemaRefs>
    <ds:schemaRef ds:uri="http://schemas.microsoft.com/office/2006/metadata/properties"/>
    <ds:schemaRef ds:uri="http://schemas.microsoft.com/office/infopath/2007/PartnerControls"/>
    <ds:schemaRef ds:uri="d07edb62-d99f-4d3c-9457-d7f35390af3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896A93F-13CC-4515-A5D5-3C77A5F99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39EC2-A8D6-4E98-89AF-05C89B97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d762-ddf0-457f-bfaa-af8c65415ff1"/>
    <ds:schemaRef ds:uri="d07edb62-d99f-4d3c-9457-d7f35390af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2A253-872B-48C6-8F81-DB3AB4F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Jano (JAN)</dc:creator>
  <cp:keywords/>
  <dc:description/>
  <cp:lastModifiedBy>Geffe, Sven (SGE)</cp:lastModifiedBy>
  <cp:revision>22</cp:revision>
  <dcterms:created xsi:type="dcterms:W3CDTF">2019-02-19T11:07:00Z</dcterms:created>
  <dcterms:modified xsi:type="dcterms:W3CDTF">2019-02-21T14:00:00Z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0x0101006E952386A1341245AAC27608E86877EC</vt:lpwstr>
  </property>
</Properties>
</file>